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5A896" w14:textId="1F61185B" w:rsidR="00920D80" w:rsidRPr="00BA7DE1" w:rsidRDefault="00920D80" w:rsidP="00920D80">
      <w:pPr>
        <w:pStyle w:val="Heading1"/>
        <w:rPr>
          <w:sz w:val="72"/>
          <w:szCs w:val="72"/>
        </w:rPr>
      </w:pPr>
      <w:r w:rsidRPr="00BA7DE1">
        <w:rPr>
          <w:sz w:val="72"/>
          <w:szCs w:val="72"/>
        </w:rPr>
        <w:t xml:space="preserve">Auckland Women’s Health </w:t>
      </w:r>
      <w:r w:rsidR="00BA7DE1" w:rsidRPr="00BA7DE1">
        <w:rPr>
          <w:sz w:val="72"/>
          <w:szCs w:val="72"/>
        </w:rPr>
        <w:br/>
      </w:r>
      <w:r w:rsidRPr="00BA7DE1">
        <w:rPr>
          <w:sz w:val="72"/>
          <w:szCs w:val="72"/>
        </w:rPr>
        <w:t>Council Newsletter</w:t>
      </w:r>
    </w:p>
    <w:p w14:paraId="5D6175A8" w14:textId="56769C90" w:rsidR="00920D80" w:rsidRPr="00972C65" w:rsidRDefault="00BA7DE1" w:rsidP="00920D80">
      <w:pPr>
        <w:pStyle w:val="Heading1"/>
      </w:pPr>
      <w:r>
        <w:t>February-March</w:t>
      </w:r>
      <w:r w:rsidR="00920D80" w:rsidRPr="00972C65">
        <w:t xml:space="preserve"> 202</w:t>
      </w:r>
      <w:r>
        <w:t>3</w:t>
      </w:r>
    </w:p>
    <w:p w14:paraId="4C7AA2B0" w14:textId="77777777" w:rsidR="004C5329" w:rsidRDefault="004C5329" w:rsidP="00920D80">
      <w:pPr>
        <w:pStyle w:val="Heading1"/>
      </w:pPr>
    </w:p>
    <w:p w14:paraId="1A46F95C" w14:textId="4DA17664" w:rsidR="004C5329" w:rsidRDefault="00BA7DE1" w:rsidP="00920D80">
      <w:pPr>
        <w:pStyle w:val="Heading1"/>
      </w:pPr>
      <w:r>
        <w:t>Active and POP!</w:t>
      </w:r>
    </w:p>
    <w:p w14:paraId="25E6FF3D" w14:textId="5DCD2217" w:rsidR="00BA7DE1" w:rsidRPr="00BA7DE1" w:rsidRDefault="00BA7DE1" w:rsidP="00BA7DE1">
      <w:pPr>
        <w:rPr>
          <w:rFonts w:ascii="Myriad Pro" w:eastAsia="Times New Roman" w:hAnsi="Myriad Pro"/>
          <w:b/>
          <w:bCs/>
          <w:sz w:val="36"/>
          <w:szCs w:val="36"/>
        </w:rPr>
      </w:pPr>
      <w:r w:rsidRPr="00BA7DE1">
        <w:rPr>
          <w:rFonts w:ascii="Myriad Pro" w:eastAsia="Times New Roman" w:hAnsi="Myriad Pro"/>
          <w:b/>
          <w:bCs/>
          <w:sz w:val="36"/>
          <w:szCs w:val="36"/>
        </w:rPr>
        <w:t xml:space="preserve">Active women dealing with pelvic organ </w:t>
      </w:r>
      <w:proofErr w:type="gramStart"/>
      <w:r w:rsidRPr="00BA7DE1">
        <w:rPr>
          <w:rFonts w:ascii="Myriad Pro" w:eastAsia="Times New Roman" w:hAnsi="Myriad Pro"/>
          <w:b/>
          <w:bCs/>
          <w:sz w:val="36"/>
          <w:szCs w:val="36"/>
        </w:rPr>
        <w:t>prolapse</w:t>
      </w:r>
      <w:proofErr w:type="gramEnd"/>
    </w:p>
    <w:p w14:paraId="34CEFFB2" w14:textId="3275C379" w:rsidR="004D4C21" w:rsidRDefault="004D4C21" w:rsidP="00920D80">
      <w:pPr>
        <w:pStyle w:val="BodyText"/>
      </w:pPr>
      <w:r w:rsidRPr="004D4C21">
        <w:t xml:space="preserve">By </w:t>
      </w:r>
      <w:r w:rsidR="00BA7DE1">
        <w:t>Anja Morris</w:t>
      </w:r>
      <w:r w:rsidRPr="004D4C21">
        <w:t xml:space="preserve"> </w:t>
      </w:r>
    </w:p>
    <w:p w14:paraId="16277947" w14:textId="24EECD73" w:rsidR="00BA7DE1" w:rsidRDefault="00BA7DE1" w:rsidP="00BA7DE1">
      <w:pPr>
        <w:pStyle w:val="BodyText"/>
      </w:pPr>
      <w:r>
        <w:t>You might tell a friend over a cup of coffee that you’ve got a sore back, but “Guess what happened, my bladder/uterus/</w:t>
      </w:r>
      <w:r>
        <w:t xml:space="preserve"> </w:t>
      </w:r>
      <w:r>
        <w:t xml:space="preserve">rectum slipped.”? Or “I can’t lift my child because…I’ve got an issue down below.”? </w:t>
      </w:r>
    </w:p>
    <w:p w14:paraId="03646500" w14:textId="77777777" w:rsidR="00BA7DE1" w:rsidRDefault="00BA7DE1" w:rsidP="00BA7DE1">
      <w:pPr>
        <w:pStyle w:val="BodyText"/>
      </w:pPr>
      <w:r>
        <w:t>Not likely!</w:t>
      </w:r>
    </w:p>
    <w:p w14:paraId="3D835A10" w14:textId="77777777" w:rsidR="00BA7DE1" w:rsidRDefault="00BA7DE1" w:rsidP="00BA7DE1">
      <w:pPr>
        <w:pStyle w:val="BodyText"/>
      </w:pPr>
      <w:r>
        <w:t xml:space="preserve">Pelvic </w:t>
      </w:r>
      <w:proofErr w:type="gramStart"/>
      <w:r>
        <w:t>organ</w:t>
      </w:r>
      <w:proofErr w:type="gramEnd"/>
      <w:r>
        <w:t xml:space="preserve"> prolapse (POP) affects approximately 50 percent of women and 30 percent of female athletes, some of whom haven’t even given birth. Maybe your mother, sister, wife, partner, daughter. It affects our family, </w:t>
      </w:r>
      <w:proofErr w:type="gramStart"/>
      <w:r>
        <w:t>work</w:t>
      </w:r>
      <w:proofErr w:type="gramEnd"/>
      <w:r>
        <w:t xml:space="preserve"> and social life; it restricts our sporting activities.</w:t>
      </w:r>
    </w:p>
    <w:p w14:paraId="7322DFF7" w14:textId="77777777" w:rsidR="00BA7DE1" w:rsidRDefault="00BA7DE1" w:rsidP="00BA7DE1">
      <w:pPr>
        <w:pStyle w:val="BodyText"/>
      </w:pPr>
      <w:r>
        <w:t>POP is common, yet most of us get caught by surprise when it happens, because we have never heard of it before. Due to its location in the body, an intimate area, it is not often talked about.</w:t>
      </w:r>
    </w:p>
    <w:p w14:paraId="1BF703DD" w14:textId="77777777" w:rsidR="00BA7DE1" w:rsidRDefault="00BA7DE1" w:rsidP="00BA7DE1">
      <w:pPr>
        <w:pStyle w:val="BodyText"/>
      </w:pPr>
      <w:r>
        <w:t xml:space="preserve">I love the outdoors: I’m a keen </w:t>
      </w:r>
      <w:proofErr w:type="spellStart"/>
      <w:r>
        <w:t>tramper</w:t>
      </w:r>
      <w:proofErr w:type="spellEnd"/>
      <w:r>
        <w:t>; I enjoy stand-up paddle boarding and kiteboarding. I feel fit and active, yet my pelvis went POP. Why me?</w:t>
      </w:r>
    </w:p>
    <w:p w14:paraId="6E5BF5F2" w14:textId="77777777" w:rsidR="00BA7DE1" w:rsidRDefault="00BA7DE1" w:rsidP="00BA7DE1">
      <w:pPr>
        <w:pStyle w:val="BodyText"/>
      </w:pPr>
      <w:r>
        <w:lastRenderedPageBreak/>
        <w:t>That was the question I asked myself when, in July 2019, my uterus unexpectedly slipped lower than it should be.</w:t>
      </w:r>
    </w:p>
    <w:p w14:paraId="58F73BC0" w14:textId="77777777" w:rsidR="00BA7DE1" w:rsidRDefault="00BA7DE1" w:rsidP="00BA7DE1">
      <w:pPr>
        <w:pStyle w:val="BodyText"/>
      </w:pPr>
      <w:r>
        <w:t xml:space="preserve">So, what </w:t>
      </w:r>
      <w:proofErr w:type="gramStart"/>
      <w:r>
        <w:t>actually is</w:t>
      </w:r>
      <w:proofErr w:type="gramEnd"/>
      <w:r>
        <w:t xml:space="preserve"> a pelvic organ prolapse?</w:t>
      </w:r>
    </w:p>
    <w:p w14:paraId="1FBC11E3" w14:textId="77777777" w:rsidR="00BA7DE1" w:rsidRDefault="00BA7DE1" w:rsidP="00BA7DE1">
      <w:pPr>
        <w:pStyle w:val="BodyText"/>
      </w:pPr>
      <w:r>
        <w:t xml:space="preserve">As explained by pelvic floor physiotherapist, Michelle Kenway, “A prolapse is another word for a hernia. Hernias occur in different parts of the body when our elastic tissues overstretch; just like overstretching a piece of elastic which no longer recoils back into position having been stretched.” </w:t>
      </w:r>
    </w:p>
    <w:p w14:paraId="0D0702D7" w14:textId="77777777" w:rsidR="00BA7DE1" w:rsidRDefault="00BA7DE1" w:rsidP="00BA7DE1">
      <w:pPr>
        <w:pStyle w:val="BodyText"/>
      </w:pPr>
      <w:r>
        <w:t>In a pelvic organ prolapse, the bladder, uterus or rectum move out of their usual position and drop down into the vagina.</w:t>
      </w:r>
    </w:p>
    <w:p w14:paraId="6104AF9F" w14:textId="77777777" w:rsidR="00BA7DE1" w:rsidRDefault="00BA7DE1" w:rsidP="00BA7DE1">
      <w:pPr>
        <w:pStyle w:val="BodyText"/>
      </w:pPr>
      <w:r>
        <w:t>Why me? It turns out that having given birth, age, genetics and simply being a woman was enough to have made me a POP candidate. I was told active life would ‘never be the same again’. It was all about management: pelvic floor exercises; no heavy lifting; not overdoing things. Welcome to a life with POP!</w:t>
      </w:r>
    </w:p>
    <w:p w14:paraId="0BD24579" w14:textId="77777777" w:rsidR="00BA7DE1" w:rsidRDefault="00BA7DE1" w:rsidP="00BA7DE1">
      <w:pPr>
        <w:pStyle w:val="BodyText"/>
      </w:pPr>
      <w:r>
        <w:t xml:space="preserve">I felt lost, alone, disappointed in my body for letting me down, desperate for answers. It wasn’t a good place to be and one where I </w:t>
      </w:r>
      <w:proofErr w:type="gramStart"/>
      <w:r>
        <w:t>definitely didn’t</w:t>
      </w:r>
      <w:proofErr w:type="gramEnd"/>
      <w:r>
        <w:t xml:space="preserve"> want to stay!</w:t>
      </w:r>
    </w:p>
    <w:p w14:paraId="1CBFFD37" w14:textId="77777777" w:rsidR="00BA7DE1" w:rsidRDefault="00BA7DE1" w:rsidP="00BA7DE1">
      <w:pPr>
        <w:pStyle w:val="BodyText"/>
      </w:pPr>
      <w:r>
        <w:t xml:space="preserve">So, my POP experience started me on a new journey. I had so many questions: if POP was such a common condition, why was it not talked about? Why was there such a stigma associated with pelvic organ prolapse? </w:t>
      </w:r>
    </w:p>
    <w:p w14:paraId="0C61DAAF" w14:textId="77777777" w:rsidR="00BA7DE1" w:rsidRDefault="00BA7DE1" w:rsidP="00BA7DE1">
      <w:pPr>
        <w:pStyle w:val="BodyText"/>
      </w:pPr>
      <w:r>
        <w:t>Think of a man with a hernia – they drop their pants to show you the scar whether you want to see it or not!</w:t>
      </w:r>
    </w:p>
    <w:p w14:paraId="210F2BCA" w14:textId="77777777" w:rsidR="00BA7DE1" w:rsidRDefault="00BA7DE1" w:rsidP="00BA7DE1">
      <w:pPr>
        <w:pStyle w:val="BodyText"/>
      </w:pPr>
      <w:r>
        <w:t xml:space="preserve">I started talking about POP. I told my female friends and found out that two of them had had a prolapse as well. I thought if POP affects so many of us, there must be lots of other active </w:t>
      </w:r>
      <w:r>
        <w:lastRenderedPageBreak/>
        <w:t xml:space="preserve">women out there in the same situation. Surfers, </w:t>
      </w:r>
      <w:proofErr w:type="spellStart"/>
      <w:r>
        <w:t>trampers</w:t>
      </w:r>
      <w:proofErr w:type="spellEnd"/>
      <w:r>
        <w:t>, cyclists, joggers, yogis…</w:t>
      </w:r>
    </w:p>
    <w:p w14:paraId="5E0FB168" w14:textId="77777777" w:rsidR="00BA7DE1" w:rsidRDefault="00BA7DE1" w:rsidP="00BA7DE1">
      <w:pPr>
        <w:pStyle w:val="BodyText"/>
      </w:pPr>
      <w:r>
        <w:t>How did they deal with the restrictions that POP imposed on their daily lives and their sporting activities? The physical and especially the mental impacts!</w:t>
      </w:r>
    </w:p>
    <w:p w14:paraId="1B15D87F" w14:textId="77777777" w:rsidR="00BA7DE1" w:rsidRDefault="00BA7DE1" w:rsidP="00BA7DE1">
      <w:pPr>
        <w:pStyle w:val="BodyText"/>
      </w:pPr>
      <w:r>
        <w:t xml:space="preserve">To find answers to my questions, I started the </w:t>
      </w:r>
      <w:hyperlink r:id="rId8" w:history="1">
        <w:r w:rsidRPr="00C86D8F">
          <w:rPr>
            <w:rStyle w:val="Hyperlink"/>
          </w:rPr>
          <w:t>‘POP goes my pelvis’</w:t>
        </w:r>
      </w:hyperlink>
      <w:r>
        <w:t xml:space="preserve"> project. The aim was to create a resource where women could share their experiences, find support, </w:t>
      </w:r>
      <w:proofErr w:type="gramStart"/>
      <w:r>
        <w:t>encouragement</w:t>
      </w:r>
      <w:proofErr w:type="gramEnd"/>
      <w:r>
        <w:t xml:space="preserve"> and reassurance that they weren’t alone with this. </w:t>
      </w:r>
    </w:p>
    <w:p w14:paraId="301F4153" w14:textId="77777777" w:rsidR="00BA7DE1" w:rsidRDefault="00BA7DE1" w:rsidP="00BA7DE1">
      <w:pPr>
        <w:pStyle w:val="BodyText"/>
      </w:pPr>
      <w:r>
        <w:t>Trying to get information out there about the project was a reality check – it revealed some of the reasons why POP was not talked about. Out of thirty New Zealand newspaper editors I contacted, only one replied. She commented that most editors were male and that POP ‘was not exactly a sexy topic!’</w:t>
      </w:r>
    </w:p>
    <w:p w14:paraId="3A19E80B" w14:textId="77777777" w:rsidR="00BA7DE1" w:rsidRDefault="00BA7DE1" w:rsidP="00BA7DE1">
      <w:pPr>
        <w:pStyle w:val="BodyText"/>
      </w:pPr>
      <w:r>
        <w:t xml:space="preserve">There is a vicious cycle: lack of public information, little confidence to talk about it, and thus a continuing silence. </w:t>
      </w:r>
    </w:p>
    <w:p w14:paraId="0EE7AE23" w14:textId="77777777" w:rsidR="00BA7DE1" w:rsidRDefault="00BA7DE1" w:rsidP="00BA7DE1">
      <w:pPr>
        <w:pStyle w:val="BodyText"/>
      </w:pPr>
      <w:r>
        <w:t xml:space="preserve">A year of collecting stories from active women around New Zealand who have experienced a </w:t>
      </w:r>
      <w:proofErr w:type="gramStart"/>
      <w:r>
        <w:t>prolapse, and</w:t>
      </w:r>
      <w:proofErr w:type="gramEnd"/>
      <w:r>
        <w:t xml:space="preserve"> gaining feedback from a range of pelvic health physiotherapists, resulted in the </w:t>
      </w:r>
      <w:hyperlink r:id="rId9" w:history="1">
        <w:r w:rsidRPr="00C86D8F">
          <w:rPr>
            <w:rStyle w:val="Hyperlink"/>
          </w:rPr>
          <w:t>Active and POP website</w:t>
        </w:r>
      </w:hyperlink>
      <w:r>
        <w:t xml:space="preserve">. Women in their thirties to seventies share their experiences and offer advice on something they thought would never happen to them. </w:t>
      </w:r>
    </w:p>
    <w:p w14:paraId="69103AC5" w14:textId="77777777" w:rsidR="00BA7DE1" w:rsidRDefault="00BA7DE1" w:rsidP="00BA7DE1">
      <w:pPr>
        <w:pStyle w:val="BodyText"/>
      </w:pPr>
      <w:r>
        <w:t>Together, we talk about POP to raise awareness and remove the stigma. We provide links to helpful resources. Most importantly, we want women to know that they are not alone and that they can live an active life again!</w:t>
      </w:r>
    </w:p>
    <w:p w14:paraId="2EAB9167" w14:textId="77777777" w:rsidR="00BA7DE1" w:rsidRDefault="00BA7DE1" w:rsidP="00BA7DE1">
      <w:pPr>
        <w:pStyle w:val="BodyText"/>
      </w:pPr>
      <w:r>
        <w:lastRenderedPageBreak/>
        <w:t xml:space="preserve">If you have experienced a prolapse and would like to share your story to support other women (totally anonymously!) feel free to contact us via the </w:t>
      </w:r>
      <w:hyperlink r:id="rId10" w:anchor="contact/" w:history="1">
        <w:r w:rsidRPr="00C86D8F">
          <w:rPr>
            <w:rStyle w:val="Hyperlink"/>
          </w:rPr>
          <w:t>website</w:t>
        </w:r>
      </w:hyperlink>
      <w:r>
        <w:t xml:space="preserve">, or  for information, stories, articles and advice please visit us at </w:t>
      </w:r>
      <w:bookmarkStart w:id="0" w:name="_Hlk130803440"/>
      <w:r>
        <w:fldChar w:fldCharType="begin"/>
      </w:r>
      <w:r>
        <w:instrText xml:space="preserve"> HYPERLINK "https://www.activeandpop.org.nz/" </w:instrText>
      </w:r>
      <w:r>
        <w:fldChar w:fldCharType="separate"/>
      </w:r>
      <w:r w:rsidRPr="00C86D8F">
        <w:rPr>
          <w:rStyle w:val="Hyperlink"/>
        </w:rPr>
        <w:t>Active and POP</w:t>
      </w:r>
      <w:bookmarkEnd w:id="0"/>
      <w:r>
        <w:fldChar w:fldCharType="end"/>
      </w:r>
      <w:r>
        <w:t>.</w:t>
      </w:r>
    </w:p>
    <w:p w14:paraId="744D4394" w14:textId="4EE12031" w:rsidR="00B474DC" w:rsidRDefault="00B474DC" w:rsidP="00920D80">
      <w:pPr>
        <w:pStyle w:val="BodyText"/>
      </w:pPr>
    </w:p>
    <w:p w14:paraId="06146783" w14:textId="4F04FE38" w:rsidR="00B474DC" w:rsidRDefault="00BA7DE1" w:rsidP="00920D80">
      <w:pPr>
        <w:pStyle w:val="Heading1"/>
        <w:rPr>
          <w:lang w:val="en-AU"/>
        </w:rPr>
      </w:pPr>
      <w:r>
        <w:t xml:space="preserve">Will the Therapeutic Products </w:t>
      </w:r>
      <w:r>
        <w:br/>
      </w:r>
      <w:r>
        <w:t>Legislation Protect Consumers?</w:t>
      </w:r>
    </w:p>
    <w:p w14:paraId="01F0A2F2" w14:textId="4A0F8864" w:rsidR="00B474DC" w:rsidRPr="00B474DC" w:rsidRDefault="00B474DC" w:rsidP="008C29A2">
      <w:pPr>
        <w:pStyle w:val="BodyText"/>
        <w:rPr>
          <w:lang w:val="en-AU"/>
        </w:rPr>
      </w:pPr>
      <w:r>
        <w:rPr>
          <w:lang w:val="en-AU"/>
        </w:rPr>
        <w:t>By S</w:t>
      </w:r>
      <w:r w:rsidR="00CE05E4">
        <w:rPr>
          <w:lang w:val="en-AU"/>
        </w:rPr>
        <w:t>u</w:t>
      </w:r>
      <w:r>
        <w:rPr>
          <w:lang w:val="en-AU"/>
        </w:rPr>
        <w:t>e Claridge</w:t>
      </w:r>
    </w:p>
    <w:p w14:paraId="70E4CBBF" w14:textId="7B95FC26" w:rsidR="00BA7DE1" w:rsidRDefault="00BA7DE1" w:rsidP="00BA7DE1">
      <w:pPr>
        <w:pStyle w:val="BodyText"/>
      </w:pPr>
      <w:r w:rsidRPr="00FE2A93">
        <w:t xml:space="preserve">The </w:t>
      </w:r>
      <w:hyperlink r:id="rId11" w:history="1">
        <w:r w:rsidRPr="00BA7DE1">
          <w:rPr>
            <w:rStyle w:val="Hyperlink"/>
            <w:rFonts w:ascii="Myriad Pro" w:hAnsi="Myriad Pro"/>
          </w:rPr>
          <w:t>AWHC is generally in support of the Therapeutic Products Bill</w:t>
        </w:r>
      </w:hyperlink>
      <w:r w:rsidRPr="00FE2A93">
        <w:t xml:space="preserve"> (TPB). The existing Medicines Act 1981 is well past its ‘use-by-date’</w:t>
      </w:r>
      <w:r>
        <w:t>,</w:t>
      </w:r>
      <w:r w:rsidRPr="00FE2A93">
        <w:t xml:space="preserve"> and it was enacted before many critical developments in medical practice and therapeutic products. It significantly predates many technological developments outside medicine (such as the internet), that have had a </w:t>
      </w:r>
      <w:r>
        <w:t>major</w:t>
      </w:r>
      <w:r w:rsidRPr="00FE2A93">
        <w:t xml:space="preserve"> impact on the way in </w:t>
      </w:r>
      <w:r>
        <w:t xml:space="preserve">which </w:t>
      </w:r>
      <w:r w:rsidRPr="00FE2A93">
        <w:t>consumers and health services providers interact and practice, and how information is disseminated.</w:t>
      </w:r>
    </w:p>
    <w:p w14:paraId="14695EAB" w14:textId="77777777" w:rsidR="00BA7DE1" w:rsidRDefault="00BA7DE1" w:rsidP="00BA7DE1">
      <w:pPr>
        <w:pStyle w:val="BodyText"/>
      </w:pPr>
      <w:r>
        <w:t xml:space="preserve">The current regulatory system, particularly for implantable medical devices, is not working. </w:t>
      </w:r>
      <w:r w:rsidRPr="00505A08">
        <w:rPr>
          <w:rFonts w:eastAsia="TimesNewRomanPSMT"/>
        </w:rPr>
        <w:t xml:space="preserve">We </w:t>
      </w:r>
      <w:r>
        <w:rPr>
          <w:rFonts w:eastAsia="TimesNewRomanPSMT"/>
        </w:rPr>
        <w:t xml:space="preserve">support the regulation of </w:t>
      </w:r>
      <w:r w:rsidRPr="00505A08">
        <w:t>therapeutic products across their lifecycle</w:t>
      </w:r>
      <w:r>
        <w:rPr>
          <w:rFonts w:eastAsia="TimesNewRomanPSMT"/>
        </w:rPr>
        <w:t>;</w:t>
      </w:r>
      <w:r w:rsidRPr="00505A08">
        <w:rPr>
          <w:rFonts w:eastAsia="TimesNewRomanPSMT"/>
        </w:rPr>
        <w:t xml:space="preserve"> this is </w:t>
      </w:r>
      <w:r w:rsidRPr="00505A08">
        <w:t xml:space="preserve">important for </w:t>
      </w:r>
      <w:r>
        <w:t xml:space="preserve">implantable medical </w:t>
      </w:r>
      <w:r w:rsidRPr="00505A08">
        <w:t xml:space="preserve">devices and medicines </w:t>
      </w:r>
      <w:r>
        <w:t>that, despite short term safety studies and follow-up,</w:t>
      </w:r>
      <w:r w:rsidRPr="00505A08">
        <w:t xml:space="preserve"> may</w:t>
      </w:r>
      <w:r>
        <w:t>,</w:t>
      </w:r>
      <w:r w:rsidRPr="00505A08">
        <w:t xml:space="preserve"> </w:t>
      </w:r>
      <w:r>
        <w:t xml:space="preserve">and often do, </w:t>
      </w:r>
      <w:r w:rsidRPr="00505A08">
        <w:t>cause harm many years after implantation or prescribing</w:t>
      </w:r>
      <w:r>
        <w:t>.</w:t>
      </w:r>
    </w:p>
    <w:p w14:paraId="29617866" w14:textId="77777777" w:rsidR="00BA7DE1" w:rsidRDefault="00BA7DE1" w:rsidP="00BA7DE1">
      <w:pPr>
        <w:pStyle w:val="BodyText"/>
      </w:pPr>
      <w:r>
        <w:rPr>
          <w:rFonts w:eastAsia="TimesNewRomanPSMT"/>
        </w:rPr>
        <w:t>R</w:t>
      </w:r>
      <w:r w:rsidRPr="00260452">
        <w:rPr>
          <w:rFonts w:eastAsia="TimesNewRomanPSMT"/>
        </w:rPr>
        <w:t xml:space="preserve">egulation should support choice of, and equity of access to, therapeutic products. This principle is not only important in addressing existing inequities and disparities in healthcare and health outcomes in New Zealand, but </w:t>
      </w:r>
      <w:r>
        <w:rPr>
          <w:rFonts w:eastAsia="TimesNewRomanPSMT"/>
        </w:rPr>
        <w:t xml:space="preserve">also </w:t>
      </w:r>
      <w:r w:rsidRPr="00260452">
        <w:rPr>
          <w:rFonts w:eastAsia="TimesNewRomanPSMT"/>
        </w:rPr>
        <w:t xml:space="preserve">because </w:t>
      </w:r>
      <w:r w:rsidRPr="00260452">
        <w:t xml:space="preserve">there is no such thing as “one size fits all”. There are many medicines that </w:t>
      </w:r>
      <w:r w:rsidRPr="00260452">
        <w:lastRenderedPageBreak/>
        <w:t>are effective or safe for a limited number of people and alternatives must be available</w:t>
      </w:r>
      <w:r>
        <w:t>. No therapeutic product</w:t>
      </w:r>
      <w:r w:rsidRPr="00260452">
        <w:t xml:space="preserve"> works all the time for all people</w:t>
      </w:r>
      <w:r>
        <w:t>, and choice, and informed decision making about therapeutic products is a critical principle that must be applied.</w:t>
      </w:r>
    </w:p>
    <w:p w14:paraId="1B54B653" w14:textId="77777777" w:rsidR="00BA7DE1" w:rsidRPr="00FE2A93" w:rsidRDefault="00BA7DE1" w:rsidP="00BA7DE1">
      <w:pPr>
        <w:pStyle w:val="BodyText"/>
      </w:pPr>
      <w:r>
        <w:t xml:space="preserve">We look forward to having a regulator that </w:t>
      </w:r>
      <w:r w:rsidRPr="008177E1">
        <w:t xml:space="preserve">will </w:t>
      </w:r>
      <w:r>
        <w:t xml:space="preserve">both </w:t>
      </w:r>
      <w:r w:rsidRPr="008177E1">
        <w:t xml:space="preserve">authorise therapeutic products and have compliance and enforcement powers. Stringent regulation of implantable medical devices has been catastrophically lacking in our regulatory regime </w:t>
      </w:r>
      <w:r>
        <w:t xml:space="preserve">for a long time. It </w:t>
      </w:r>
      <w:r w:rsidRPr="008177E1">
        <w:t xml:space="preserve">is vital that this is corrected. </w:t>
      </w:r>
      <w:r>
        <w:t xml:space="preserve">Our </w:t>
      </w:r>
      <w:r w:rsidRPr="008177E1">
        <w:t xml:space="preserve">hopes for the </w:t>
      </w:r>
      <w:r>
        <w:t xml:space="preserve">new </w:t>
      </w:r>
      <w:r w:rsidRPr="008177E1">
        <w:rPr>
          <w:rFonts w:eastAsia="TimesNewRomanPSMT"/>
        </w:rPr>
        <w:t xml:space="preserve">Therapeutic Products Regulator </w:t>
      </w:r>
      <w:r>
        <w:rPr>
          <w:rFonts w:eastAsia="TimesNewRomanPSMT"/>
        </w:rPr>
        <w:t xml:space="preserve">are balanced against </w:t>
      </w:r>
      <w:r w:rsidRPr="008177E1">
        <w:rPr>
          <w:rFonts w:eastAsia="TimesNewRomanPSMT"/>
        </w:rPr>
        <w:t>significant concerns about whether this new Regulator will fulfil the promises made in the TPB</w:t>
      </w:r>
      <w:r>
        <w:rPr>
          <w:rFonts w:eastAsia="TimesNewRomanPSMT"/>
        </w:rPr>
        <w:t xml:space="preserve"> or not.</w:t>
      </w:r>
    </w:p>
    <w:p w14:paraId="1BE35CC1" w14:textId="77777777" w:rsidR="00BA7DE1" w:rsidRPr="006F0C04" w:rsidRDefault="00BA7DE1" w:rsidP="00BA7DE1">
      <w:pPr>
        <w:pStyle w:val="Heading2"/>
      </w:pPr>
      <w:r w:rsidRPr="006F0C04">
        <w:t>A Health System for the People!</w:t>
      </w:r>
    </w:p>
    <w:p w14:paraId="7C6A2057" w14:textId="77777777" w:rsidR="00BA7DE1" w:rsidRDefault="00BA7DE1" w:rsidP="00BA7DE1">
      <w:pPr>
        <w:pStyle w:val="BodyText"/>
      </w:pPr>
      <w:r w:rsidRPr="00FE2A93">
        <w:t>A health system for the people</w:t>
      </w:r>
      <w:r>
        <w:t xml:space="preserve"> is what we were promised by then Health Minister Andrew Little at the beginning of the health system overhaul, and that is what it should be – without the people, the health consumers, we would have no need for the health system!</w:t>
      </w:r>
    </w:p>
    <w:p w14:paraId="0E67ADB5" w14:textId="77777777" w:rsidR="00BA7DE1" w:rsidRDefault="00BA7DE1" w:rsidP="00BA7DE1">
      <w:pPr>
        <w:pStyle w:val="BodyText"/>
      </w:pPr>
      <w:r w:rsidRPr="001F03C9">
        <w:t xml:space="preserve">There are significant indications that despite the stated purpose of the </w:t>
      </w:r>
      <w:r>
        <w:t>TPB</w:t>
      </w:r>
      <w:r w:rsidRPr="001F03C9">
        <w:t xml:space="preserve"> being “to protect, promote, and improve the health of all New Zealanders” this Bill is focussed on giving pharmaceutical companies, manufacturers and suppliers, and any other profit driven entity access to consumers. </w:t>
      </w:r>
      <w:proofErr w:type="gramStart"/>
      <w:r w:rsidRPr="001F03C9">
        <w:t>It is clear that the</w:t>
      </w:r>
      <w:proofErr w:type="gramEnd"/>
      <w:r w:rsidRPr="001F03C9">
        <w:t xml:space="preserve"> Bill is market-focussed, favouring corporates within the medico-pharmaceutical industrial complex, rather than being truly focussed on benefit to the health consumer.</w:t>
      </w:r>
    </w:p>
    <w:p w14:paraId="3A7FB539" w14:textId="0BEABADF" w:rsidR="00BA7DE1" w:rsidRDefault="00BA7DE1" w:rsidP="00BA7DE1">
      <w:pPr>
        <w:pStyle w:val="BodyText"/>
      </w:pPr>
      <w:r>
        <w:lastRenderedPageBreak/>
        <w:t xml:space="preserve">We strongly believe that </w:t>
      </w:r>
      <w:r w:rsidRPr="0056765E">
        <w:rPr>
          <w:b/>
          <w:bCs/>
          <w:i/>
          <w:iCs/>
        </w:rPr>
        <w:t>ALL</w:t>
      </w:r>
      <w:r>
        <w:t xml:space="preserve"> consumers have an inalienable right to be involved at </w:t>
      </w:r>
      <w:r w:rsidRPr="0056765E">
        <w:rPr>
          <w:b/>
          <w:bCs/>
          <w:i/>
          <w:iCs/>
        </w:rPr>
        <w:t>ALL</w:t>
      </w:r>
      <w:r>
        <w:t xml:space="preserve"> levels of the health system. We argue that the new Therapeutic Products Regulator must be a signatory to the Code of Expectations</w:t>
      </w:r>
      <w:r w:rsidRPr="00D95786">
        <w:t xml:space="preserve"> </w:t>
      </w:r>
      <w:r>
        <w:t xml:space="preserve">for </w:t>
      </w:r>
      <w:r w:rsidRPr="00905E59">
        <w:t>health entities’ engagement with consumers and whānau</w:t>
      </w:r>
      <w:r>
        <w:t xml:space="preserve"> and act in accordance with the that code. </w:t>
      </w:r>
      <w:r w:rsidRPr="001F03C9">
        <w:t>The Code of Expectations was required under the Pae Ora (Healthy Futures) Act 2022 (Section 59 and Section 60).</w:t>
      </w:r>
    </w:p>
    <w:p w14:paraId="50581596" w14:textId="77777777" w:rsidR="00BA7DE1" w:rsidRDefault="00BA7DE1" w:rsidP="00BA7DE1">
      <w:pPr>
        <w:pStyle w:val="BodyText"/>
      </w:pPr>
      <w:r>
        <w:t>We are disappointed that this is not explicitly set out in the Therapeutic Products Bill.</w:t>
      </w:r>
    </w:p>
    <w:p w14:paraId="5E40F913" w14:textId="77777777" w:rsidR="00BA7DE1" w:rsidRDefault="00BA7DE1" w:rsidP="00BA7DE1">
      <w:pPr>
        <w:pStyle w:val="BodyText"/>
      </w:pPr>
      <w:r>
        <w:t xml:space="preserve">We understand that engaging with consumers takes a lot of time, it makes things messy for advisors, policy makers and legislators who like things nice and tidy, dispassionate, </w:t>
      </w:r>
      <w:proofErr w:type="gramStart"/>
      <w:r>
        <w:t>impersonal</w:t>
      </w:r>
      <w:proofErr w:type="gramEnd"/>
      <w:r>
        <w:t xml:space="preserve"> and nailed down. The reality is that people are messy and difficult and take time. But people are also experts by experience; we know more about what we need from our health system than the legislators do. We know that if consumers don’t have a say about issues that affect them it makes for very poor outcomes. </w:t>
      </w:r>
    </w:p>
    <w:p w14:paraId="7DA04915" w14:textId="77777777" w:rsidR="00BA7DE1" w:rsidRDefault="00BA7DE1" w:rsidP="00BA7DE1">
      <w:pPr>
        <w:pStyle w:val="BodyText"/>
      </w:pPr>
      <w:r>
        <w:t>Aotearoa New Zealand has been a democracy for a long time. We pride ourselves on having been the first in the world to give women the right to vote. Not giving consumers a seat at the table is not anything to be proud of. Paying lip service to consumer engagement and consultation is not anything to be proud of.</w:t>
      </w:r>
    </w:p>
    <w:p w14:paraId="09209C26" w14:textId="77777777" w:rsidR="00BA7DE1" w:rsidRDefault="00BA7DE1" w:rsidP="00BA7DE1">
      <w:pPr>
        <w:pStyle w:val="BodyText"/>
      </w:pPr>
      <w:r>
        <w:t xml:space="preserve">In the Bill there are clauses that </w:t>
      </w:r>
      <w:r w:rsidRPr="006466B5">
        <w:t>rel</w:t>
      </w:r>
      <w:r>
        <w:t>y</w:t>
      </w:r>
      <w:r w:rsidRPr="006466B5">
        <w:t xml:space="preserve"> on the Regulator determining who will be affected by any regulations rather than taking the standpoint that ALL N</w:t>
      </w:r>
      <w:r>
        <w:t xml:space="preserve">ew </w:t>
      </w:r>
      <w:r w:rsidRPr="006466B5">
        <w:t>Z</w:t>
      </w:r>
      <w:r>
        <w:t>ealanders</w:t>
      </w:r>
      <w:r w:rsidRPr="006466B5">
        <w:t xml:space="preserve"> may be affected and are entitled to be consulted.</w:t>
      </w:r>
      <w:r w:rsidRPr="00DE5DB3">
        <w:rPr>
          <w:rFonts w:ascii="TimesNewRomanPSMT" w:eastAsia="TimesNewRomanPSMT" w:cs="TimesNewRomanPSMT"/>
          <w:sz w:val="23"/>
          <w:szCs w:val="23"/>
        </w:rPr>
        <w:t xml:space="preserve"> </w:t>
      </w:r>
    </w:p>
    <w:p w14:paraId="43131879" w14:textId="77777777" w:rsidR="00BA7DE1" w:rsidRDefault="00BA7DE1" w:rsidP="00BA7DE1">
      <w:pPr>
        <w:pStyle w:val="BodyText"/>
      </w:pPr>
      <w:r>
        <w:lastRenderedPageBreak/>
        <w:t xml:space="preserve">Consumers should be involved in development of secondary legislation, in reviews, and at every stage be invited to provide feedback. After all we were promised a people-centred health system; nothing less will do. </w:t>
      </w:r>
    </w:p>
    <w:p w14:paraId="4E9EBC6A" w14:textId="77777777" w:rsidR="00BA7DE1" w:rsidRDefault="00BA7DE1" w:rsidP="00BA7DE1">
      <w:pPr>
        <w:pStyle w:val="Heading2"/>
      </w:pPr>
      <w:bookmarkStart w:id="1" w:name="_bookmark462"/>
      <w:bookmarkStart w:id="2" w:name="_bookmark464"/>
      <w:bookmarkStart w:id="3" w:name="_bookmark465"/>
      <w:bookmarkStart w:id="4" w:name="_Ref128758891"/>
      <w:bookmarkStart w:id="5" w:name="_Toc128823068"/>
      <w:bookmarkEnd w:id="1"/>
      <w:bookmarkEnd w:id="2"/>
      <w:bookmarkEnd w:id="3"/>
      <w:r>
        <w:t>Patient Safety</w:t>
      </w:r>
    </w:p>
    <w:bookmarkEnd w:id="4"/>
    <w:bookmarkEnd w:id="5"/>
    <w:p w14:paraId="3AAEFBE9" w14:textId="77777777" w:rsidR="00BA7DE1" w:rsidRDefault="00BA7DE1" w:rsidP="00BA7DE1">
      <w:pPr>
        <w:pStyle w:val="BodyText"/>
        <w:spacing w:before="120" w:beforeAutospacing="0"/>
        <w:rPr>
          <w:rFonts w:eastAsia="TimesNewRomanPSMT"/>
        </w:rPr>
      </w:pPr>
      <w:r w:rsidRPr="001F03C9">
        <w:rPr>
          <w:rFonts w:eastAsia="TimesNewRomanPSMT"/>
        </w:rPr>
        <w:t>Patient or consumer safety is of paramount importance in any legislation or regulatory regime that controls therapeutic products. No New Zealander should be worse off for the use of a therapeutic product.</w:t>
      </w:r>
      <w:r>
        <w:rPr>
          <w:rFonts w:eastAsia="TimesNewRomanPSMT"/>
        </w:rPr>
        <w:t xml:space="preserve"> The needs and wants of health practitioners, sponsors, suppliers, the pharmaceutical </w:t>
      </w:r>
      <w:proofErr w:type="gramStart"/>
      <w:r>
        <w:rPr>
          <w:rFonts w:eastAsia="TimesNewRomanPSMT"/>
        </w:rPr>
        <w:t>industry</w:t>
      </w:r>
      <w:proofErr w:type="gramEnd"/>
      <w:r>
        <w:rPr>
          <w:rFonts w:eastAsia="TimesNewRomanPSMT"/>
        </w:rPr>
        <w:t xml:space="preserve"> and manufacturers must all be secondary to the health and well-being, and safety of health consumers. </w:t>
      </w:r>
    </w:p>
    <w:p w14:paraId="6602E578" w14:textId="77777777" w:rsidR="00BA7DE1" w:rsidRDefault="00BA7DE1" w:rsidP="00BA7DE1">
      <w:pPr>
        <w:pStyle w:val="BodyText"/>
        <w:rPr>
          <w:rFonts w:eastAsia="TimesNewRomanPSMT"/>
        </w:rPr>
      </w:pPr>
      <w:r>
        <w:rPr>
          <w:rFonts w:eastAsia="TimesNewRomanPSMT"/>
        </w:rPr>
        <w:t>However, we simply don’t take medical harm and treatment injury seriously enough in this country.</w:t>
      </w:r>
    </w:p>
    <w:p w14:paraId="182A25E8" w14:textId="422303DD" w:rsidR="00BA7DE1" w:rsidRDefault="00BA7DE1" w:rsidP="00BA7DE1">
      <w:pPr>
        <w:pStyle w:val="BodyText"/>
      </w:pPr>
      <w:r>
        <w:t>In the US, preventable medical error is the third biggest killer behind heart disease and cancer. A 2016 study by Johns Hopkins University calculated that more than 250,000 deaths per year in the US are due to medical error. In a New Zealand study published in 2006, Auckland University School of Population health lecturers Mary Seddon and Alan Merry found more than 1500 people were killed or permanently disabled annually in this country through preventable medical error. They wrote:</w:t>
      </w:r>
    </w:p>
    <w:p w14:paraId="23FCEBAE" w14:textId="545810B2" w:rsidR="00BA7DE1" w:rsidRDefault="00BA7DE1" w:rsidP="00BA7DE1">
      <w:pPr>
        <w:pStyle w:val="BodyText"/>
      </w:pPr>
      <w:r>
        <w:t xml:space="preserve">“The evidence is incontrovertible—we are inadvertently harming an unacceptable number of our patients by the very healthcare intended to help them.” </w:t>
      </w:r>
    </w:p>
    <w:p w14:paraId="38EA471B" w14:textId="06C9BCB5" w:rsidR="00BA7DE1" w:rsidRDefault="00BA7DE1" w:rsidP="00BA7DE1">
      <w:pPr>
        <w:pStyle w:val="BodyText"/>
      </w:pPr>
      <w:r>
        <w:t xml:space="preserve">An earlier New Zealand study found that “up to 30% of public hospital expenditure goes toward treating an adverse event”, </w:t>
      </w:r>
      <w:r>
        <w:lastRenderedPageBreak/>
        <w:t xml:space="preserve">and that does not consider the cost to individuals in both direct and indirect costs, loss of quality of life etc., and to the community in loss of productivity and participation. Brown </w:t>
      </w:r>
      <w:r w:rsidRPr="0056765E">
        <w:rPr>
          <w:i/>
          <w:iCs/>
        </w:rPr>
        <w:t>et al.</w:t>
      </w:r>
      <w:r>
        <w:t xml:space="preserve"> found in 2002 that “adverse events are estimated to cost the medical system $NZ870 million, of which $NZ590 million went toward treating </w:t>
      </w:r>
      <w:r w:rsidRPr="0019621C">
        <w:rPr>
          <w:b/>
          <w:bCs/>
          <w:u w:val="single"/>
        </w:rPr>
        <w:t>preventable</w:t>
      </w:r>
      <w:r>
        <w:t xml:space="preserve"> adverse events.” [our emphasis]</w:t>
      </w:r>
    </w:p>
    <w:p w14:paraId="0EB6A8EF" w14:textId="04591B7D" w:rsidR="00BA7DE1" w:rsidRDefault="00BA7DE1" w:rsidP="00BA7DE1">
      <w:pPr>
        <w:pStyle w:val="BodyText"/>
      </w:pPr>
      <w:r>
        <w:t xml:space="preserve">Given the harm caused by surgical mesh alone in the last decade or more, that cost has only gone up. ACC payments for surgical mesh injuries alone have increased from $500,000 in 2017 to $5.1 million in 2021.  </w:t>
      </w:r>
    </w:p>
    <w:p w14:paraId="107B8F4D" w14:textId="239C82D9" w:rsidR="00BA7DE1" w:rsidRDefault="00BA7DE1" w:rsidP="00BA7DE1">
      <w:pPr>
        <w:pStyle w:val="BodyText"/>
        <w:rPr>
          <w:rStyle w:val="markedcontent"/>
          <w:rFonts w:eastAsiaTheme="majorEastAsia"/>
        </w:rPr>
      </w:pPr>
      <w:r>
        <w:t xml:space="preserve">Modern medicine is littered with examples of the serious harm inflicted on people – often disproportionately impacting women – by inadequately tested and inadequately regulated drugs, </w:t>
      </w:r>
      <w:proofErr w:type="gramStart"/>
      <w:r>
        <w:t>medicines</w:t>
      </w:r>
      <w:proofErr w:type="gramEnd"/>
      <w:r>
        <w:t xml:space="preserve"> and procedures. Thalidomide. </w:t>
      </w:r>
      <w:proofErr w:type="spellStart"/>
      <w:r>
        <w:t>Primodos</w:t>
      </w:r>
      <w:proofErr w:type="spellEnd"/>
      <w:r>
        <w:t xml:space="preserve">. </w:t>
      </w:r>
      <w:proofErr w:type="spellStart"/>
      <w:r>
        <w:t>Diethylstilbestrol</w:t>
      </w:r>
      <w:proofErr w:type="spellEnd"/>
      <w:r>
        <w:t xml:space="preserve">. Contraceptive coils. Vioxx. </w:t>
      </w:r>
      <w:r w:rsidRPr="00CE66A7">
        <w:t>Fenfluramine-Phentermine</w:t>
      </w:r>
      <w:r>
        <w:t xml:space="preserve"> (Fen-phen). Essure contraceptive device. Breast implants. Lung sealant. Pacemakers. Deep brain stimulators. Endometrial ablation. Surgical mesh.</w:t>
      </w:r>
    </w:p>
    <w:p w14:paraId="6F353278" w14:textId="7C8E24DD" w:rsidR="00BA7DE1" w:rsidRDefault="00BA7DE1" w:rsidP="00BA7DE1">
      <w:pPr>
        <w:pStyle w:val="BodyText"/>
      </w:pPr>
      <w:r>
        <w:rPr>
          <w:rStyle w:val="markedcontent"/>
          <w:rFonts w:eastAsiaTheme="majorEastAsia"/>
        </w:rPr>
        <w:t xml:space="preserve">As a nation, we are performing abysmally in patient safety. In late February, </w:t>
      </w:r>
      <w:r>
        <w:t xml:space="preserve">Denise </w:t>
      </w:r>
      <w:proofErr w:type="spellStart"/>
      <w:r>
        <w:t>Astill</w:t>
      </w:r>
      <w:proofErr w:type="spellEnd"/>
      <w:r>
        <w:t xml:space="preserve">, Founder, Trustee and Executive Officer of </w:t>
      </w:r>
      <w:hyperlink r:id="rId12" w:history="1">
        <w:r w:rsidRPr="00BA7DE1">
          <w:rPr>
            <w:rStyle w:val="Hyperlink"/>
            <w:rFonts w:ascii="Myriad Pro" w:hAnsi="Myriad Pro"/>
          </w:rPr>
          <w:t>F</w:t>
        </w:r>
        <w:r w:rsidRPr="00BA7DE1">
          <w:rPr>
            <w:rStyle w:val="Hyperlink"/>
            <w:rFonts w:ascii="Myriad Pro" w:hAnsi="Myriad Pro"/>
          </w:rPr>
          <w:t xml:space="preserve">oetal </w:t>
        </w:r>
        <w:r w:rsidRPr="00BA7DE1">
          <w:rPr>
            <w:rStyle w:val="Hyperlink"/>
            <w:rFonts w:ascii="Myriad Pro" w:hAnsi="Myriad Pro"/>
          </w:rPr>
          <w:t>A</w:t>
        </w:r>
        <w:r w:rsidRPr="00BA7DE1">
          <w:rPr>
            <w:rStyle w:val="Hyperlink"/>
            <w:rFonts w:ascii="Myriad Pro" w:hAnsi="Myriad Pro"/>
          </w:rPr>
          <w:t>nti-</w:t>
        </w:r>
        <w:r w:rsidRPr="00BA7DE1">
          <w:rPr>
            <w:rStyle w:val="Hyperlink"/>
            <w:rFonts w:ascii="Myriad Pro" w:hAnsi="Myriad Pro"/>
          </w:rPr>
          <w:t>C</w:t>
        </w:r>
        <w:r w:rsidRPr="00BA7DE1">
          <w:rPr>
            <w:rStyle w:val="Hyperlink"/>
            <w:rFonts w:ascii="Myriad Pro" w:hAnsi="Myriad Pro"/>
          </w:rPr>
          <w:t xml:space="preserve">onvulsant </w:t>
        </w:r>
        <w:r w:rsidRPr="00BA7DE1">
          <w:rPr>
            <w:rStyle w:val="Hyperlink"/>
            <w:rFonts w:ascii="Myriad Pro" w:hAnsi="Myriad Pro"/>
          </w:rPr>
          <w:t>S</w:t>
        </w:r>
        <w:r w:rsidRPr="00BA7DE1">
          <w:rPr>
            <w:rStyle w:val="Hyperlink"/>
            <w:rFonts w:ascii="Myriad Pro" w:hAnsi="Myriad Pro"/>
          </w:rPr>
          <w:t xml:space="preserve">yndrome </w:t>
        </w:r>
        <w:r w:rsidRPr="00BA7DE1">
          <w:rPr>
            <w:rStyle w:val="Hyperlink"/>
            <w:rFonts w:ascii="Myriad Pro" w:hAnsi="Myriad Pro"/>
          </w:rPr>
          <w:t>NZ</w:t>
        </w:r>
      </w:hyperlink>
      <w:r>
        <w:t xml:space="preserve"> attended the </w:t>
      </w:r>
      <w:r>
        <w:rPr>
          <w:lang w:val="en-GB" w:eastAsia="en-US"/>
        </w:rPr>
        <w:t>5</w:t>
      </w:r>
      <w:r>
        <w:rPr>
          <w:vertAlign w:val="superscript"/>
          <w:lang w:val="en-GB" w:eastAsia="en-US"/>
        </w:rPr>
        <w:t xml:space="preserve">th </w:t>
      </w:r>
      <w:r>
        <w:rPr>
          <w:lang w:val="en-GB" w:eastAsia="en-US"/>
        </w:rPr>
        <w:t xml:space="preserve">Global Ministers Summit on Patient Safety in Switzerland as a consumer advocate, yet there was no New Zealand ministerial or government representative </w:t>
      </w:r>
      <w:r>
        <w:t xml:space="preserve">there! </w:t>
      </w:r>
    </w:p>
    <w:p w14:paraId="66DE19F5" w14:textId="7429279F" w:rsidR="00BA7DE1" w:rsidRDefault="00BA7DE1" w:rsidP="00BA7DE1">
      <w:pPr>
        <w:pStyle w:val="BodyText"/>
      </w:pPr>
      <w:r>
        <w:t xml:space="preserve">“Confronted with worldwide evidence of substantial public health harm due to inadequate patient safety, the World Health Assembly (WHA) in 2002 adopted a resolution (WHA55.18) urging countries to strengthen the safety of health care and monitoring systems.” </w:t>
      </w:r>
    </w:p>
    <w:p w14:paraId="7196A949" w14:textId="69E1E9FB" w:rsidR="00BA7DE1" w:rsidRDefault="00BA7DE1" w:rsidP="00BA7DE1">
      <w:pPr>
        <w:pStyle w:val="BodyText"/>
      </w:pPr>
      <w:r>
        <w:lastRenderedPageBreak/>
        <w:t xml:space="preserve">We are signatories to resolution WHA55.18, which recognises the need to promote patient safety as a fundamental principle of all health systems. It urges Member States to pay the closest possible attention to the problem of patient safety; and to establish and strengthen science-based systems, necessary for improving patients' safety and the quality of health care, including the monitoring of drugs, medical </w:t>
      </w:r>
      <w:proofErr w:type="gramStart"/>
      <w:r>
        <w:t>equipment</w:t>
      </w:r>
      <w:proofErr w:type="gramEnd"/>
      <w:r>
        <w:t xml:space="preserve"> and technology. </w:t>
      </w:r>
    </w:p>
    <w:p w14:paraId="3BE95B31" w14:textId="77777777" w:rsidR="00BA7DE1" w:rsidRDefault="00BA7DE1" w:rsidP="00BA7DE1">
      <w:pPr>
        <w:pStyle w:val="BodyText"/>
        <w:rPr>
          <w:rStyle w:val="markedcontent"/>
          <w:rFonts w:eastAsiaTheme="majorEastAsia"/>
        </w:rPr>
      </w:pPr>
      <w:r>
        <w:t xml:space="preserve">The Therapeutic Products Bill does not give sufficient attention to the problem of patient safety or establish and strengthen science-based systems, necessary for improving patients' safety and the quality of health care, including the monitoring of drugs, medical </w:t>
      </w:r>
      <w:proofErr w:type="gramStart"/>
      <w:r>
        <w:t>equipment</w:t>
      </w:r>
      <w:proofErr w:type="gramEnd"/>
      <w:r>
        <w:t xml:space="preserve"> and technology.  </w:t>
      </w:r>
    </w:p>
    <w:p w14:paraId="025C4271" w14:textId="77777777" w:rsidR="00BA7DE1" w:rsidRDefault="00BA7DE1" w:rsidP="00BA7DE1">
      <w:pPr>
        <w:pStyle w:val="BodyText"/>
        <w:rPr>
          <w:rStyle w:val="markedcontent"/>
          <w:rFonts w:eastAsiaTheme="majorEastAsia"/>
        </w:rPr>
      </w:pPr>
      <w:r>
        <w:rPr>
          <w:rStyle w:val="markedcontent"/>
          <w:rFonts w:eastAsiaTheme="majorEastAsia"/>
        </w:rPr>
        <w:t>We argued, on behalf of all New Zealanders who have been harmed in the health system, and all those who will be in future if our legislation does not adequately address patient harm, that the proposed Bill be amended to place a priority on keeping people safe. We asked that the precautionary approach be embedded in the Bill, that the legislation be shored up with a robust and effective harm notification system that really works, one that is nimble, responsive and above all recognises harm early and ensures that it stops.</w:t>
      </w:r>
    </w:p>
    <w:p w14:paraId="3ACE3AAC" w14:textId="77777777" w:rsidR="00BA7DE1" w:rsidRDefault="00BA7DE1" w:rsidP="00BA7DE1">
      <w:pPr>
        <w:pStyle w:val="BodyText"/>
        <w:rPr>
          <w:rStyle w:val="markedcontent"/>
          <w:rFonts w:eastAsiaTheme="majorEastAsia"/>
        </w:rPr>
      </w:pPr>
      <w:r>
        <w:rPr>
          <w:rStyle w:val="markedcontent"/>
          <w:rFonts w:eastAsiaTheme="majorEastAsia"/>
        </w:rPr>
        <w:t>In the TPB, t</w:t>
      </w:r>
      <w:r w:rsidRPr="000938CF">
        <w:rPr>
          <w:rStyle w:val="markedcontent"/>
          <w:rFonts w:eastAsiaTheme="majorEastAsia"/>
        </w:rPr>
        <w:t xml:space="preserve">here is repeated </w:t>
      </w:r>
      <w:r>
        <w:rPr>
          <w:rStyle w:val="markedcontent"/>
          <w:rFonts w:eastAsiaTheme="majorEastAsia"/>
        </w:rPr>
        <w:t xml:space="preserve">use of the phrase </w:t>
      </w:r>
      <w:r w:rsidRPr="000938CF">
        <w:rPr>
          <w:rStyle w:val="markedcontent"/>
          <w:rFonts w:eastAsiaTheme="majorEastAsia"/>
        </w:rPr>
        <w:t xml:space="preserve">“likely benefits should outweigh the likely risks”. This is a critical principle and how benefit and risk is balanced is crucial to </w:t>
      </w:r>
      <w:proofErr w:type="gramStart"/>
      <w:r w:rsidRPr="000938CF">
        <w:rPr>
          <w:rStyle w:val="markedcontent"/>
          <w:rFonts w:eastAsiaTheme="majorEastAsia"/>
        </w:rPr>
        <w:t>whether or not</w:t>
      </w:r>
      <w:proofErr w:type="gramEnd"/>
      <w:r w:rsidRPr="000938CF">
        <w:rPr>
          <w:rStyle w:val="markedcontent"/>
          <w:rFonts w:eastAsiaTheme="majorEastAsia"/>
        </w:rPr>
        <w:t xml:space="preserve"> the Bill protects consumers. However, a simple calculation that “benefits outweigh risks” is a low threshold and risks permitting products that are not harmful 51% of the time. Using such an </w:t>
      </w:r>
      <w:proofErr w:type="gramStart"/>
      <w:r w:rsidRPr="000938CF">
        <w:rPr>
          <w:rStyle w:val="markedcontent"/>
          <w:rFonts w:eastAsiaTheme="majorEastAsia"/>
        </w:rPr>
        <w:t>inadequate measure results</w:t>
      </w:r>
      <w:proofErr w:type="gramEnd"/>
      <w:r w:rsidRPr="000938CF">
        <w:rPr>
          <w:rStyle w:val="markedcontent"/>
          <w:rFonts w:eastAsiaTheme="majorEastAsia"/>
        </w:rPr>
        <w:t xml:space="preserve"> in situations </w:t>
      </w:r>
      <w:r>
        <w:rPr>
          <w:rStyle w:val="markedcontent"/>
          <w:rFonts w:eastAsiaTheme="majorEastAsia"/>
        </w:rPr>
        <w:t>such</w:t>
      </w:r>
      <w:r w:rsidRPr="000938CF">
        <w:rPr>
          <w:rStyle w:val="markedcontent"/>
          <w:rFonts w:eastAsiaTheme="majorEastAsia"/>
        </w:rPr>
        <w:t xml:space="preserve"> the surgical mesh issue, where a therapeutic product could cause catastrophic </w:t>
      </w:r>
      <w:r w:rsidRPr="000938CF">
        <w:rPr>
          <w:rStyle w:val="markedcontent"/>
          <w:rFonts w:eastAsiaTheme="majorEastAsia"/>
        </w:rPr>
        <w:lastRenderedPageBreak/>
        <w:t>harm for thousands of people, yet still be evaluated as having benefits</w:t>
      </w:r>
      <w:r>
        <w:rPr>
          <w:rStyle w:val="markedcontent"/>
          <w:rFonts w:eastAsiaTheme="majorEastAsia"/>
        </w:rPr>
        <w:t xml:space="preserve"> in that it does not harm a slender majority of consumers</w:t>
      </w:r>
      <w:r w:rsidRPr="000938CF">
        <w:rPr>
          <w:rStyle w:val="markedcontent"/>
          <w:rFonts w:eastAsiaTheme="majorEastAsia"/>
        </w:rPr>
        <w:t>.</w:t>
      </w:r>
    </w:p>
    <w:p w14:paraId="14ADB9BF" w14:textId="77777777" w:rsidR="00BA7DE1" w:rsidRPr="00E948B0" w:rsidRDefault="00BA7DE1" w:rsidP="00BA7DE1">
      <w:pPr>
        <w:pStyle w:val="BodyText"/>
        <w:rPr>
          <w:rFonts w:eastAsia="TimesNewRomanPSMT"/>
        </w:rPr>
      </w:pPr>
      <w:r>
        <w:rPr>
          <w:rFonts w:eastAsia="TimesNewRomanPSMT"/>
        </w:rPr>
        <w:t>The term “proportionate” is also frequently used in the proposed legislation, with no definition provided. That is because “proportionate” is a highly subject measure, and one person’s idea of proportionate will be entirely different from another’s based on experience and perspective.</w:t>
      </w:r>
    </w:p>
    <w:p w14:paraId="67BB7F05" w14:textId="77777777" w:rsidR="00BA7DE1" w:rsidRPr="005B06F5" w:rsidRDefault="00BA7DE1" w:rsidP="00BA7DE1">
      <w:pPr>
        <w:pStyle w:val="BodyText"/>
        <w:rPr>
          <w:rFonts w:eastAsia="TimesNewRomanPSMT"/>
        </w:rPr>
      </w:pPr>
      <w:r>
        <w:rPr>
          <w:rFonts w:eastAsia="TimesNewRomanPSMT"/>
        </w:rPr>
        <w:t>T</w:t>
      </w:r>
      <w:r w:rsidRPr="005B06F5">
        <w:rPr>
          <w:rFonts w:eastAsia="TimesNewRomanPSMT"/>
        </w:rPr>
        <w:t>h</w:t>
      </w:r>
      <w:r>
        <w:rPr>
          <w:rFonts w:eastAsia="TimesNewRomanPSMT"/>
        </w:rPr>
        <w:t>e</w:t>
      </w:r>
      <w:r w:rsidRPr="005B06F5">
        <w:rPr>
          <w:rFonts w:eastAsia="TimesNewRomanPSMT"/>
        </w:rPr>
        <w:t xml:space="preserve"> subjective concept of having </w:t>
      </w:r>
      <w:r>
        <w:rPr>
          <w:rFonts w:eastAsia="TimesNewRomanPSMT"/>
        </w:rPr>
        <w:t>“</w:t>
      </w:r>
      <w:r w:rsidRPr="005B06F5">
        <w:rPr>
          <w:rFonts w:eastAsia="TimesNewRomanPSMT"/>
        </w:rPr>
        <w:t>regard for the likely benefits and risks</w:t>
      </w:r>
      <w:r>
        <w:rPr>
          <w:rFonts w:eastAsia="TimesNewRomanPSMT"/>
        </w:rPr>
        <w:t>”</w:t>
      </w:r>
      <w:r w:rsidRPr="005B06F5">
        <w:rPr>
          <w:rFonts w:eastAsia="TimesNewRomanPSMT"/>
        </w:rPr>
        <w:t xml:space="preserve"> permits the sponsor</w:t>
      </w:r>
      <w:r>
        <w:rPr>
          <w:rFonts w:eastAsia="TimesNewRomanPSMT"/>
        </w:rPr>
        <w:t xml:space="preserve"> of a therapeutic product</w:t>
      </w:r>
      <w:r w:rsidRPr="005B06F5">
        <w:rPr>
          <w:rFonts w:eastAsia="TimesNewRomanPSMT"/>
        </w:rPr>
        <w:t xml:space="preserve"> and/or </w:t>
      </w:r>
      <w:r>
        <w:rPr>
          <w:rFonts w:eastAsia="TimesNewRomanPSMT"/>
        </w:rPr>
        <w:t>the R</w:t>
      </w:r>
      <w:r w:rsidRPr="005B06F5">
        <w:rPr>
          <w:rFonts w:eastAsia="TimesNewRomanPSMT"/>
        </w:rPr>
        <w:t>egulator to ignore or dismiss harm that has not been thought likely or has not been considered at all</w:t>
      </w:r>
      <w:r>
        <w:rPr>
          <w:rFonts w:eastAsia="TimesNewRomanPSMT"/>
        </w:rPr>
        <w:t xml:space="preserve">; absence of evidence is </w:t>
      </w:r>
      <w:r w:rsidRPr="00CC014B">
        <w:rPr>
          <w:rFonts w:eastAsia="TimesNewRomanPSMT"/>
          <w:b/>
          <w:bCs/>
          <w:i/>
          <w:iCs/>
        </w:rPr>
        <w:t>NOT</w:t>
      </w:r>
      <w:r>
        <w:rPr>
          <w:rFonts w:eastAsia="TimesNewRomanPSMT"/>
        </w:rPr>
        <w:t xml:space="preserve"> evidence of absence.</w:t>
      </w:r>
    </w:p>
    <w:p w14:paraId="1F04CA38" w14:textId="77777777" w:rsidR="00BA7DE1" w:rsidRDefault="00BA7DE1" w:rsidP="00BA7DE1">
      <w:pPr>
        <w:pStyle w:val="Heading2"/>
        <w:rPr>
          <w:rFonts w:eastAsia="TimesNewRomanPSMT"/>
        </w:rPr>
      </w:pPr>
      <w:r>
        <w:rPr>
          <w:rFonts w:eastAsia="TimesNewRomanPSMT"/>
        </w:rPr>
        <w:t xml:space="preserve">The Regulation of Implantable Medical Devices… which the </w:t>
      </w:r>
      <w:r w:rsidRPr="00335D47">
        <w:rPr>
          <w:rFonts w:eastAsia="TimesNewRomanPSMT"/>
        </w:rPr>
        <w:t xml:space="preserve">TPB does not address </w:t>
      </w:r>
      <w:proofErr w:type="gramStart"/>
      <w:r w:rsidRPr="00335D47">
        <w:rPr>
          <w:rFonts w:eastAsia="TimesNewRomanPSMT"/>
        </w:rPr>
        <w:t>appropriately</w:t>
      </w:r>
      <w:proofErr w:type="gramEnd"/>
    </w:p>
    <w:p w14:paraId="15CE934C" w14:textId="77777777" w:rsidR="00BA7DE1" w:rsidRDefault="00BA7DE1" w:rsidP="00BA7DE1">
      <w:pPr>
        <w:pStyle w:val="BodyText"/>
        <w:rPr>
          <w:rFonts w:eastAsiaTheme="minorHAnsi" w:cstheme="minorBidi"/>
          <w:szCs w:val="22"/>
          <w:lang w:eastAsia="en-US"/>
        </w:rPr>
      </w:pPr>
      <w:r>
        <w:rPr>
          <w:rFonts w:eastAsia="TimesNewRomanPSMT"/>
        </w:rPr>
        <w:t xml:space="preserve">The regulation of implantable medical devices is one of the most critical issues in patient safety. It is widely recognised that, internationally, </w:t>
      </w:r>
      <w:r w:rsidRPr="00632648">
        <w:rPr>
          <w:rFonts w:eastAsiaTheme="minorHAnsi" w:cstheme="minorBidi"/>
          <w:szCs w:val="22"/>
          <w:lang w:eastAsia="en-US"/>
        </w:rPr>
        <w:t xml:space="preserve">regulation </w:t>
      </w:r>
      <w:r>
        <w:rPr>
          <w:rFonts w:eastAsiaTheme="minorHAnsi" w:cstheme="minorBidi"/>
          <w:szCs w:val="22"/>
          <w:lang w:eastAsia="en-US"/>
        </w:rPr>
        <w:t xml:space="preserve">of implantable </w:t>
      </w:r>
      <w:r w:rsidRPr="00632648">
        <w:rPr>
          <w:rFonts w:eastAsiaTheme="minorHAnsi" w:cstheme="minorBidi"/>
          <w:szCs w:val="22"/>
          <w:lang w:eastAsia="en-US"/>
        </w:rPr>
        <w:t>device</w:t>
      </w:r>
      <w:r>
        <w:rPr>
          <w:rFonts w:eastAsiaTheme="minorHAnsi" w:cstheme="minorBidi"/>
          <w:szCs w:val="22"/>
          <w:lang w:eastAsia="en-US"/>
        </w:rPr>
        <w:t>s</w:t>
      </w:r>
      <w:r w:rsidRPr="00632648">
        <w:rPr>
          <w:rFonts w:eastAsiaTheme="minorHAnsi" w:cstheme="minorBidi"/>
          <w:szCs w:val="22"/>
          <w:lang w:eastAsia="en-US"/>
        </w:rPr>
        <w:t xml:space="preserve"> </w:t>
      </w:r>
      <w:r>
        <w:rPr>
          <w:rFonts w:eastAsiaTheme="minorHAnsi" w:cstheme="minorBidi"/>
          <w:szCs w:val="22"/>
          <w:lang w:eastAsia="en-US"/>
        </w:rPr>
        <w:t>is grossly inadequate. Catastrophic levels of harm have been inflicted upon health consumers in New Zealand because, we too, have had years of gross under-regulation of implantable medical devices.</w:t>
      </w:r>
    </w:p>
    <w:p w14:paraId="30F592FE" w14:textId="142D193B" w:rsidR="00BA7DE1" w:rsidRDefault="00BA7DE1" w:rsidP="00BA7DE1">
      <w:pPr>
        <w:pStyle w:val="BodyText"/>
        <w:rPr>
          <w:rFonts w:eastAsiaTheme="minorHAnsi" w:cstheme="minorBidi"/>
          <w:szCs w:val="22"/>
          <w:vertAlign w:val="superscript"/>
          <w:lang w:eastAsia="en-US"/>
        </w:rPr>
      </w:pPr>
      <w:r w:rsidRPr="00632648">
        <w:rPr>
          <w:iCs/>
        </w:rPr>
        <w:t>In 2018,</w:t>
      </w:r>
      <w:r>
        <w:rPr>
          <w:i/>
        </w:rPr>
        <w:t xml:space="preserve"> The </w:t>
      </w:r>
      <w:r w:rsidRPr="00221091">
        <w:rPr>
          <w:i/>
        </w:rPr>
        <w:t>British Medical Journal’s</w:t>
      </w:r>
      <w:r>
        <w:t xml:space="preserve"> Editor in Chief, Fiona </w:t>
      </w:r>
      <w:proofErr w:type="spellStart"/>
      <w:r>
        <w:t>Godlee</w:t>
      </w:r>
      <w:proofErr w:type="spellEnd"/>
      <w:r>
        <w:t xml:space="preserve">, asked “Why aren’t medical devices regulated like drugs?” </w:t>
      </w:r>
      <w:r>
        <w:rPr>
          <w:rFonts w:eastAsiaTheme="minorHAnsi" w:cstheme="minorBidi"/>
          <w:szCs w:val="22"/>
          <w:lang w:eastAsia="en-US"/>
        </w:rPr>
        <w:t>A</w:t>
      </w:r>
      <w:r w:rsidRPr="00632648">
        <w:rPr>
          <w:rFonts w:eastAsiaTheme="minorHAnsi" w:cstheme="minorBidi"/>
          <w:szCs w:val="22"/>
          <w:lang w:eastAsia="en-US"/>
        </w:rPr>
        <w:t xml:space="preserve"> major international investigation, involving 59 organisations and including </w:t>
      </w:r>
      <w:proofErr w:type="gramStart"/>
      <w:r w:rsidRPr="00632648">
        <w:rPr>
          <w:rFonts w:eastAsiaTheme="minorHAnsi" w:cstheme="minorBidi"/>
          <w:i/>
          <w:iCs/>
          <w:szCs w:val="22"/>
          <w:lang w:eastAsia="en-US"/>
        </w:rPr>
        <w:t>The</w:t>
      </w:r>
      <w:proofErr w:type="gramEnd"/>
      <w:r w:rsidRPr="00632648">
        <w:rPr>
          <w:rFonts w:eastAsiaTheme="minorHAnsi" w:cstheme="minorBidi"/>
          <w:i/>
          <w:iCs/>
          <w:szCs w:val="22"/>
          <w:lang w:eastAsia="en-US"/>
        </w:rPr>
        <w:t xml:space="preserve"> BMJ</w:t>
      </w:r>
      <w:r w:rsidRPr="00632648">
        <w:rPr>
          <w:rFonts w:eastAsiaTheme="minorHAnsi" w:cstheme="minorBidi"/>
          <w:szCs w:val="22"/>
          <w:lang w:eastAsia="en-US"/>
        </w:rPr>
        <w:t xml:space="preserve">, </w:t>
      </w:r>
      <w:r>
        <w:rPr>
          <w:rFonts w:eastAsiaTheme="minorHAnsi" w:cstheme="minorBidi"/>
          <w:szCs w:val="22"/>
          <w:lang w:eastAsia="en-US"/>
        </w:rPr>
        <w:t>found</w:t>
      </w:r>
      <w:r w:rsidRPr="00632648">
        <w:rPr>
          <w:rFonts w:eastAsiaTheme="minorHAnsi" w:cstheme="minorBidi"/>
          <w:szCs w:val="22"/>
          <w:lang w:eastAsia="en-US"/>
        </w:rPr>
        <w:t xml:space="preserve"> device regulation unfit to protect patients from harm</w:t>
      </w:r>
      <w:r>
        <w:rPr>
          <w:rFonts w:eastAsiaTheme="minorHAnsi" w:cstheme="minorBidi"/>
          <w:szCs w:val="22"/>
          <w:lang w:eastAsia="en-US"/>
        </w:rPr>
        <w:t>.”</w:t>
      </w:r>
      <w:r>
        <w:rPr>
          <w:rFonts w:eastAsiaTheme="minorHAnsi" w:cstheme="minorBidi"/>
          <w:szCs w:val="22"/>
          <w:vertAlign w:val="superscript"/>
          <w:lang w:eastAsia="en-US"/>
        </w:rPr>
        <w:t xml:space="preserve"> </w:t>
      </w:r>
    </w:p>
    <w:p w14:paraId="5814DF95" w14:textId="5231F847" w:rsidR="00BA7DE1" w:rsidRDefault="00BA7DE1" w:rsidP="00BA7DE1">
      <w:pPr>
        <w:pStyle w:val="BodyText"/>
      </w:pPr>
      <w:r>
        <w:lastRenderedPageBreak/>
        <w:t xml:space="preserve">The major investigation of medical devices – the </w:t>
      </w:r>
      <w:r w:rsidRPr="00BA7DE1">
        <w:rPr>
          <w:b/>
          <w:bCs/>
        </w:rPr>
        <w:t>Implant File</w:t>
      </w:r>
      <w:r w:rsidRPr="00BA7DE1">
        <w:rPr>
          <w:b/>
          <w:bCs/>
        </w:rPr>
        <w:t>s</w:t>
      </w:r>
      <w:r>
        <w:t xml:space="preserve"> – found that “sources of harm to patients include a lung sealant that leaked, breast implants that went rancid, implanted pacemakers that stopped working, and deep brain stimulators that had to be removed.”</w:t>
      </w:r>
    </w:p>
    <w:p w14:paraId="33D231A5" w14:textId="77777777" w:rsidR="00BA7DE1" w:rsidRDefault="00BA7DE1" w:rsidP="00BA7DE1">
      <w:pPr>
        <w:pStyle w:val="BodyText"/>
      </w:pPr>
      <w:r>
        <w:t xml:space="preserve">The website </w:t>
      </w:r>
      <w:hyperlink r:id="rId13" w:history="1">
        <w:r w:rsidRPr="00FB1EA2">
          <w:rPr>
            <w:rStyle w:val="Hyperlink"/>
            <w:i/>
          </w:rPr>
          <w:t>Implant Files</w:t>
        </w:r>
      </w:hyperlink>
      <w:r>
        <w:t xml:space="preserve"> is devoted to the first-ever global examination of the medical device industry, which has found that health authorities across the globe have failed to protect millions of patients from poorly tested implants.</w:t>
      </w:r>
    </w:p>
    <w:p w14:paraId="21C74A9B" w14:textId="77777777" w:rsidR="00BA7DE1" w:rsidRDefault="00BA7DE1" w:rsidP="00BA7DE1">
      <w:pPr>
        <w:pStyle w:val="BodyText"/>
      </w:pPr>
      <w:r>
        <w:t xml:space="preserve">The investigation found that when flaws are found in medical devices, and safety alerts and recalls are triggered, all too often these warnings fail to reach doctors and patients. Recalls, withdrawals and bans on devices are not uniformly applied from country to country, causing confusion and raising risks to patients </w:t>
      </w:r>
      <w:proofErr w:type="spellStart"/>
      <w:r>
        <w:t>where</w:t>
      </w:r>
      <w:proofErr w:type="spellEnd"/>
      <w:r>
        <w:t xml:space="preserve"> insufficient action is taken.</w:t>
      </w:r>
    </w:p>
    <w:p w14:paraId="7585D09B" w14:textId="67ED92B9" w:rsidR="00BA7DE1" w:rsidRDefault="00BA7DE1" w:rsidP="00BA7DE1">
      <w:pPr>
        <w:pStyle w:val="BodyText"/>
      </w:pPr>
      <w:r>
        <w:t xml:space="preserve">The </w:t>
      </w:r>
      <w:r w:rsidRPr="003A77BC">
        <w:rPr>
          <w:i/>
          <w:iCs/>
        </w:rPr>
        <w:t>Implant Files</w:t>
      </w:r>
      <w:r>
        <w:t xml:space="preserve"> state that “Doctors and manufacturers often fail to report adverse events, and when they do the information can be unverified and incomplete. And over large swaths of the planet, health authorities refuse to disclose information about harm to the public — or just never collect it in the first place.”</w:t>
      </w:r>
      <w:r>
        <w:t xml:space="preserve"> </w:t>
      </w:r>
    </w:p>
    <w:p w14:paraId="29A0C245" w14:textId="77777777" w:rsidR="00BA7DE1" w:rsidRDefault="00BA7DE1" w:rsidP="00BA7DE1">
      <w:pPr>
        <w:pStyle w:val="BodyText"/>
      </w:pPr>
      <w:r>
        <w:t xml:space="preserve">New Zealand was one of the countries specifically mentioned. There is no escape from the fall out – our national regulators facilitated significant harm to New Zealanders because they failed to do their jobs properly! </w:t>
      </w:r>
    </w:p>
    <w:p w14:paraId="1749A391" w14:textId="77777777" w:rsidR="00BA7DE1" w:rsidRDefault="00BA7DE1" w:rsidP="00BA7DE1">
      <w:pPr>
        <w:pStyle w:val="BodyText"/>
        <w:rPr>
          <w:rFonts w:eastAsiaTheme="minorHAnsi" w:cstheme="minorBidi"/>
          <w:szCs w:val="22"/>
          <w:lang w:eastAsia="en-US"/>
        </w:rPr>
      </w:pPr>
      <w:r>
        <w:rPr>
          <w:rFonts w:eastAsiaTheme="minorHAnsi" w:cstheme="minorBidi"/>
          <w:szCs w:val="22"/>
          <w:lang w:eastAsia="en-US"/>
        </w:rPr>
        <w:t xml:space="preserve">The TPB is the opportunity to not only protect New Zealanders, but to lead the world in implantable device regulation. </w:t>
      </w:r>
    </w:p>
    <w:p w14:paraId="7F14A4A0" w14:textId="77777777" w:rsidR="00BA7DE1" w:rsidRDefault="00BA7DE1" w:rsidP="00BA7DE1">
      <w:pPr>
        <w:pStyle w:val="BodyText"/>
        <w:rPr>
          <w:rFonts w:eastAsiaTheme="minorHAnsi" w:cstheme="minorBidi"/>
          <w:szCs w:val="22"/>
          <w:lang w:eastAsia="en-US"/>
        </w:rPr>
      </w:pPr>
      <w:r>
        <w:rPr>
          <w:rFonts w:eastAsiaTheme="minorHAnsi" w:cstheme="minorBidi"/>
          <w:szCs w:val="22"/>
          <w:lang w:eastAsia="en-US"/>
        </w:rPr>
        <w:t xml:space="preserve">So, what are we going to do? </w:t>
      </w:r>
    </w:p>
    <w:p w14:paraId="55FC7BBE" w14:textId="77777777" w:rsidR="00BA7DE1" w:rsidRDefault="00BA7DE1" w:rsidP="00BA7DE1">
      <w:pPr>
        <w:pStyle w:val="BodyText"/>
      </w:pPr>
      <w:r>
        <w:rPr>
          <w:rFonts w:eastAsiaTheme="minorHAnsi" w:cstheme="minorBidi"/>
          <w:szCs w:val="22"/>
          <w:lang w:eastAsia="en-US"/>
        </w:rPr>
        <w:lastRenderedPageBreak/>
        <w:t xml:space="preserve">Because of the Transitional provisions we will wait another six and a half years before our regulatory authorities hold </w:t>
      </w:r>
      <w:r>
        <w:t xml:space="preserve">sponsors of implantable medical devices accountable for the lack of safety of their products. </w:t>
      </w:r>
    </w:p>
    <w:p w14:paraId="52241E56" w14:textId="77777777" w:rsidR="00BA7DE1" w:rsidRDefault="00BA7DE1" w:rsidP="00BA7DE1">
      <w:pPr>
        <w:pStyle w:val="BodyText"/>
      </w:pPr>
      <w:r>
        <w:t xml:space="preserve">The transitional provisions may well be acceptable for medicines that have always been subject to better and more robust regulation. However, it is unconscionable that New Zealanders </w:t>
      </w:r>
      <w:proofErr w:type="gramStart"/>
      <w:r>
        <w:t>have to</w:t>
      </w:r>
      <w:proofErr w:type="gramEnd"/>
      <w:r>
        <w:t xml:space="preserve"> wait this long to have any sort of confidence that our therapeutic products regulators are going to take our safety and protection from harm from implantable medical devices seriously.</w:t>
      </w:r>
    </w:p>
    <w:p w14:paraId="4EAC9BD0" w14:textId="77777777" w:rsidR="00BA7DE1" w:rsidRDefault="00BA7DE1" w:rsidP="00BA7DE1">
      <w:pPr>
        <w:pStyle w:val="BodyText"/>
      </w:pPr>
      <w:r w:rsidRPr="00956E92">
        <w:t xml:space="preserve">The </w:t>
      </w:r>
      <w:r>
        <w:t>t</w:t>
      </w:r>
      <w:r w:rsidRPr="00956E92">
        <w:t>ransitional provisions</w:t>
      </w:r>
      <w:r>
        <w:t xml:space="preserve"> in the TPB</w:t>
      </w:r>
      <w:r w:rsidRPr="00956E92">
        <w:t xml:space="preserve"> effectively give health practitioners </w:t>
      </w:r>
      <w:r w:rsidRPr="00956E92">
        <w:rPr>
          <w:i/>
          <w:iCs/>
        </w:rPr>
        <w:t>carte blanche</w:t>
      </w:r>
      <w:r w:rsidRPr="00956E92">
        <w:t xml:space="preserve"> to continue using harmful</w:t>
      </w:r>
      <w:r w:rsidRPr="001F068E">
        <w:t xml:space="preserve"> devices</w:t>
      </w:r>
      <w:r>
        <w:t>,</w:t>
      </w:r>
      <w:r w:rsidRPr="001F068E">
        <w:t xml:space="preserve"> such as </w:t>
      </w:r>
      <w:r>
        <w:t xml:space="preserve">surgical </w:t>
      </w:r>
      <w:r w:rsidRPr="001F068E">
        <w:t>mesh</w:t>
      </w:r>
      <w:r>
        <w:t>,</w:t>
      </w:r>
      <w:r w:rsidRPr="001F068E">
        <w:t xml:space="preserve"> because </w:t>
      </w:r>
      <w:r>
        <w:t>such implantable devices</w:t>
      </w:r>
      <w:r w:rsidRPr="001F068E">
        <w:t xml:space="preserve"> will automatically be given a temporary market authorisation. This Bill may not come into force until </w:t>
      </w:r>
      <w:r>
        <w:t xml:space="preserve">as late as </w:t>
      </w:r>
      <w:r w:rsidRPr="001F068E">
        <w:t>the 1</w:t>
      </w:r>
      <w:r w:rsidRPr="00B01F10">
        <w:rPr>
          <w:vertAlign w:val="superscript"/>
        </w:rPr>
        <w:t>st</w:t>
      </w:r>
      <w:r>
        <w:t xml:space="preserve"> </w:t>
      </w:r>
      <w:r w:rsidRPr="001F068E">
        <w:t>of September 2026. Therefore</w:t>
      </w:r>
      <w:r>
        <w:t>,</w:t>
      </w:r>
      <w:r w:rsidRPr="001F068E">
        <w:t xml:space="preserve"> the temporary market authorisation for </w:t>
      </w:r>
      <w:r>
        <w:t xml:space="preserve">a </w:t>
      </w:r>
      <w:r w:rsidRPr="001F068E">
        <w:t xml:space="preserve">medical device will have up to </w:t>
      </w:r>
      <w:r>
        <w:t>three</w:t>
      </w:r>
      <w:r w:rsidRPr="001F068E">
        <w:t xml:space="preserve"> years</w:t>
      </w:r>
      <w:r>
        <w:t xml:space="preserve"> after that date</w:t>
      </w:r>
      <w:r w:rsidRPr="001F068E">
        <w:t xml:space="preserve"> before that </w:t>
      </w:r>
      <w:r>
        <w:t>it</w:t>
      </w:r>
      <w:r w:rsidRPr="001F068E">
        <w:t xml:space="preserve"> expires</w:t>
      </w:r>
      <w:r>
        <w:t xml:space="preserve"> – entirely likely to be not until </w:t>
      </w:r>
      <w:r w:rsidRPr="001F068E">
        <w:t xml:space="preserve">September 2029. </w:t>
      </w:r>
      <w:r>
        <w:t>We</w:t>
      </w:r>
      <w:r w:rsidRPr="001F068E">
        <w:t xml:space="preserve"> conceivably </w:t>
      </w:r>
      <w:proofErr w:type="gramStart"/>
      <w:r w:rsidRPr="001F068E">
        <w:t>have to</w:t>
      </w:r>
      <w:proofErr w:type="gramEnd"/>
      <w:r w:rsidRPr="001F068E">
        <w:t xml:space="preserve"> wait </w:t>
      </w:r>
      <w:r>
        <w:t xml:space="preserve">until late 2029 </w:t>
      </w:r>
      <w:r w:rsidRPr="001F068E">
        <w:t xml:space="preserve">to </w:t>
      </w:r>
      <w:r>
        <w:t>see</w:t>
      </w:r>
      <w:r w:rsidRPr="001F068E">
        <w:t xml:space="preserve"> implantable medical devices sufficiently regulated to give some assurance of safety. </w:t>
      </w:r>
    </w:p>
    <w:p w14:paraId="4EE25AD8" w14:textId="77777777" w:rsidR="00BA7DE1" w:rsidRDefault="00BA7DE1" w:rsidP="00BA7DE1">
      <w:pPr>
        <w:pStyle w:val="BodyText"/>
      </w:pPr>
      <w:r>
        <w:t>Meanwhile, New Zealanders will continue to be exposed to devastating harm from virtually unregulated implantable devices.</w:t>
      </w:r>
    </w:p>
    <w:p w14:paraId="5CC3F9F7" w14:textId="77777777" w:rsidR="00BA7DE1" w:rsidRDefault="00BA7DE1" w:rsidP="00BA7DE1">
      <w:pPr>
        <w:pStyle w:val="BodyText"/>
        <w:rPr>
          <w:b/>
          <w:bCs/>
        </w:rPr>
      </w:pPr>
      <w:r>
        <w:rPr>
          <w:rStyle w:val="markedcontent"/>
          <w:rFonts w:eastAsiaTheme="majorEastAsia"/>
        </w:rPr>
        <w:t xml:space="preserve">The Health Select Committee must amend the Bill, go back to the drawing </w:t>
      </w:r>
      <w:proofErr w:type="gramStart"/>
      <w:r>
        <w:rPr>
          <w:rStyle w:val="markedcontent"/>
          <w:rFonts w:eastAsiaTheme="majorEastAsia"/>
        </w:rPr>
        <w:t>board</w:t>
      </w:r>
      <w:proofErr w:type="gramEnd"/>
      <w:r>
        <w:rPr>
          <w:rStyle w:val="markedcontent"/>
          <w:rFonts w:eastAsiaTheme="majorEastAsia"/>
        </w:rPr>
        <w:t xml:space="preserve"> if necessary, but stand up for those who will be harmed over the next six or more years and demand better </w:t>
      </w:r>
      <w:r>
        <w:rPr>
          <w:rStyle w:val="markedcontent"/>
          <w:rFonts w:eastAsiaTheme="majorEastAsia"/>
        </w:rPr>
        <w:lastRenderedPageBreak/>
        <w:t>from both the legislation and from the suppliers of medical devices.</w:t>
      </w:r>
    </w:p>
    <w:p w14:paraId="7EA04682" w14:textId="47DB6306" w:rsidR="00CE05E4" w:rsidRDefault="00CE05E4" w:rsidP="00CE05E4">
      <w:pPr>
        <w:pStyle w:val="BodyText"/>
        <w:rPr>
          <w:b/>
          <w:bCs/>
          <w:sz w:val="44"/>
          <w:szCs w:val="44"/>
        </w:rPr>
      </w:pPr>
      <w:r w:rsidRPr="00CE05E4">
        <w:rPr>
          <w:b/>
          <w:bCs/>
          <w:sz w:val="44"/>
          <w:szCs w:val="44"/>
        </w:rPr>
        <w:t>References</w:t>
      </w:r>
    </w:p>
    <w:p w14:paraId="3C571DD2" w14:textId="77777777" w:rsidR="00BA7DE1" w:rsidRPr="00BA7DE1" w:rsidRDefault="00BA7DE1" w:rsidP="00BA7DE1">
      <w:pPr>
        <w:pStyle w:val="Reference"/>
        <w:numPr>
          <w:ilvl w:val="0"/>
          <w:numId w:val="53"/>
        </w:numPr>
        <w:ind w:left="567" w:hanging="567"/>
        <w:rPr>
          <w:rStyle w:val="Hyperlink"/>
          <w:rFonts w:ascii="Calibri" w:eastAsiaTheme="majorEastAsia" w:hAnsi="Calibri" w:cs="Calibri"/>
          <w:sz w:val="36"/>
          <w:szCs w:val="36"/>
        </w:rPr>
      </w:pPr>
      <w:r w:rsidRPr="00BA7DE1">
        <w:rPr>
          <w:color w:val="0000FF"/>
          <w:sz w:val="36"/>
          <w:szCs w:val="36"/>
          <w:u w:val="thick"/>
        </w:rPr>
        <w:t>Pae Ora (Healthy Futures) Act 2022</w:t>
      </w:r>
    </w:p>
    <w:p w14:paraId="751FC565" w14:textId="37B69D77" w:rsidR="00BA7DE1" w:rsidRPr="00BA7DE1" w:rsidRDefault="00BA7DE1" w:rsidP="00BA7DE1">
      <w:pPr>
        <w:pStyle w:val="Reference"/>
        <w:numPr>
          <w:ilvl w:val="0"/>
          <w:numId w:val="53"/>
        </w:numPr>
        <w:ind w:left="567" w:hanging="567"/>
        <w:rPr>
          <w:sz w:val="36"/>
          <w:szCs w:val="36"/>
        </w:rPr>
      </w:pPr>
      <w:proofErr w:type="spellStart"/>
      <w:r w:rsidRPr="00BA7DE1">
        <w:rPr>
          <w:sz w:val="36"/>
          <w:szCs w:val="36"/>
        </w:rPr>
        <w:t>Makary</w:t>
      </w:r>
      <w:proofErr w:type="spellEnd"/>
      <w:r w:rsidRPr="00BA7DE1">
        <w:rPr>
          <w:sz w:val="36"/>
          <w:szCs w:val="36"/>
        </w:rPr>
        <w:t xml:space="preserve"> MA and Daniel M, 2016: Medical error - the third leading cause of death in the US, </w:t>
      </w:r>
      <w:r w:rsidRPr="00BA7DE1">
        <w:rPr>
          <w:i/>
          <w:iCs/>
          <w:sz w:val="36"/>
          <w:szCs w:val="36"/>
        </w:rPr>
        <w:t>British Medical Journal</w:t>
      </w:r>
      <w:r w:rsidRPr="00BA7DE1">
        <w:rPr>
          <w:sz w:val="36"/>
          <w:szCs w:val="36"/>
        </w:rPr>
        <w:t>, May 3; 353: i2139.</w:t>
      </w:r>
    </w:p>
    <w:p w14:paraId="5EE4B82A" w14:textId="73FA5B0C" w:rsidR="00BA7DE1" w:rsidRPr="00BA7DE1" w:rsidRDefault="00BA7DE1" w:rsidP="00BA7DE1">
      <w:pPr>
        <w:pStyle w:val="Reference"/>
        <w:numPr>
          <w:ilvl w:val="0"/>
          <w:numId w:val="53"/>
        </w:numPr>
        <w:ind w:left="567" w:hanging="567"/>
        <w:rPr>
          <w:sz w:val="36"/>
          <w:szCs w:val="36"/>
        </w:rPr>
      </w:pPr>
      <w:r w:rsidRPr="00BA7DE1">
        <w:rPr>
          <w:sz w:val="36"/>
          <w:szCs w:val="36"/>
        </w:rPr>
        <w:t xml:space="preserve">Merry A and Seddon M, 2006: Quality improvement in healthcare in New Zealand. Part 2: are our patients safe - and what are we doing about it? </w:t>
      </w:r>
      <w:r w:rsidRPr="00BA7DE1">
        <w:rPr>
          <w:i/>
          <w:iCs/>
          <w:sz w:val="36"/>
          <w:szCs w:val="36"/>
        </w:rPr>
        <w:t>New Zealand Medical Journal</w:t>
      </w:r>
      <w:r w:rsidRPr="00BA7DE1">
        <w:rPr>
          <w:sz w:val="36"/>
          <w:szCs w:val="36"/>
        </w:rPr>
        <w:t>, 2006 Jul 21; 119(1238): U2086.</w:t>
      </w:r>
    </w:p>
    <w:p w14:paraId="077A027F" w14:textId="67D65FBC" w:rsidR="00BA7DE1" w:rsidRPr="00BA7DE1" w:rsidRDefault="00BA7DE1" w:rsidP="00BA7DE1">
      <w:pPr>
        <w:pStyle w:val="Reference"/>
        <w:numPr>
          <w:ilvl w:val="0"/>
          <w:numId w:val="53"/>
        </w:numPr>
        <w:ind w:left="567" w:hanging="567"/>
        <w:rPr>
          <w:sz w:val="36"/>
          <w:szCs w:val="36"/>
        </w:rPr>
      </w:pPr>
      <w:r w:rsidRPr="00BA7DE1">
        <w:rPr>
          <w:sz w:val="36"/>
          <w:szCs w:val="36"/>
        </w:rPr>
        <w:t xml:space="preserve">Brown P </w:t>
      </w:r>
      <w:r w:rsidRPr="00BA7DE1">
        <w:rPr>
          <w:i/>
          <w:iCs/>
          <w:sz w:val="36"/>
          <w:szCs w:val="36"/>
        </w:rPr>
        <w:t xml:space="preserve">et al., </w:t>
      </w:r>
      <w:r w:rsidRPr="00BA7DE1">
        <w:rPr>
          <w:sz w:val="36"/>
          <w:szCs w:val="36"/>
        </w:rPr>
        <w:t xml:space="preserve">2002: Cost of medical injury in New Zealand: a retrospective cohort study. </w:t>
      </w:r>
      <w:r w:rsidRPr="00BA7DE1">
        <w:rPr>
          <w:i/>
          <w:iCs/>
          <w:sz w:val="36"/>
          <w:szCs w:val="36"/>
        </w:rPr>
        <w:t>Journal of Health Services Research and Policy</w:t>
      </w:r>
      <w:r w:rsidRPr="00BA7DE1">
        <w:rPr>
          <w:sz w:val="36"/>
          <w:szCs w:val="36"/>
        </w:rPr>
        <w:t xml:space="preserve">, 2002 Jul; 7 </w:t>
      </w:r>
      <w:proofErr w:type="spellStart"/>
      <w:r w:rsidRPr="00BA7DE1">
        <w:rPr>
          <w:sz w:val="36"/>
          <w:szCs w:val="36"/>
        </w:rPr>
        <w:t>Suppl</w:t>
      </w:r>
      <w:proofErr w:type="spellEnd"/>
      <w:r w:rsidRPr="00BA7DE1">
        <w:rPr>
          <w:sz w:val="36"/>
          <w:szCs w:val="36"/>
        </w:rPr>
        <w:t xml:space="preserve"> 1: S29-34.</w:t>
      </w:r>
    </w:p>
    <w:p w14:paraId="6EBE7071" w14:textId="3FE00C64" w:rsidR="00BA7DE1" w:rsidRPr="00BA7DE1" w:rsidRDefault="00BA7DE1" w:rsidP="00BA7DE1">
      <w:pPr>
        <w:pStyle w:val="Reference"/>
        <w:numPr>
          <w:ilvl w:val="0"/>
          <w:numId w:val="53"/>
        </w:numPr>
        <w:ind w:left="567" w:hanging="567"/>
        <w:rPr>
          <w:sz w:val="36"/>
          <w:szCs w:val="36"/>
        </w:rPr>
      </w:pPr>
      <w:r w:rsidRPr="00BA7DE1">
        <w:rPr>
          <w:sz w:val="36"/>
          <w:szCs w:val="36"/>
        </w:rPr>
        <w:t xml:space="preserve">Russell E, 2022: </w:t>
      </w:r>
      <w:r w:rsidRPr="00BA7DE1">
        <w:rPr>
          <w:rStyle w:val="Hyperlink"/>
          <w:rFonts w:ascii="Calibri" w:eastAsiaTheme="majorEastAsia" w:hAnsi="Calibri" w:cs="Calibri"/>
          <w:sz w:val="36"/>
          <w:szCs w:val="36"/>
        </w:rPr>
        <w:t>In Her Head: Women’s health - Surgical mesh investigation, claims surgeons harmed women</w:t>
      </w:r>
      <w:r w:rsidRPr="00BA7DE1">
        <w:rPr>
          <w:sz w:val="36"/>
          <w:szCs w:val="36"/>
        </w:rPr>
        <w:t xml:space="preserve">, </w:t>
      </w:r>
      <w:r w:rsidRPr="00BA7DE1">
        <w:rPr>
          <w:i/>
          <w:iCs/>
          <w:sz w:val="36"/>
          <w:szCs w:val="36"/>
        </w:rPr>
        <w:t>New Zealand Herald</w:t>
      </w:r>
      <w:r w:rsidRPr="00BA7DE1">
        <w:rPr>
          <w:sz w:val="36"/>
          <w:szCs w:val="36"/>
        </w:rPr>
        <w:t>, 30 June 2022.</w:t>
      </w:r>
    </w:p>
    <w:p w14:paraId="1AEC82A2" w14:textId="195A9190" w:rsidR="00BA7DE1" w:rsidRPr="00BA7DE1" w:rsidRDefault="00BA7DE1" w:rsidP="00BA7DE1">
      <w:pPr>
        <w:pStyle w:val="Reference"/>
        <w:numPr>
          <w:ilvl w:val="0"/>
          <w:numId w:val="53"/>
        </w:numPr>
        <w:ind w:left="567" w:hanging="567"/>
        <w:rPr>
          <w:spacing w:val="-10"/>
          <w:sz w:val="36"/>
          <w:szCs w:val="36"/>
        </w:rPr>
      </w:pPr>
      <w:r w:rsidRPr="00BA7DE1">
        <w:rPr>
          <w:sz w:val="36"/>
          <w:szCs w:val="36"/>
        </w:rPr>
        <w:t xml:space="preserve">WHO, 2009: </w:t>
      </w:r>
      <w:r w:rsidRPr="00BA7DE1">
        <w:rPr>
          <w:i/>
          <w:iCs/>
          <w:sz w:val="36"/>
          <w:szCs w:val="36"/>
        </w:rPr>
        <w:t xml:space="preserve">WHO Guidelines for Safe Surgery 2009: Safe </w:t>
      </w:r>
      <w:r w:rsidRPr="00BA7DE1">
        <w:rPr>
          <w:i/>
          <w:iCs/>
          <w:spacing w:val="-10"/>
          <w:sz w:val="36"/>
          <w:szCs w:val="36"/>
        </w:rPr>
        <w:t>Surgery Saves Lives</w:t>
      </w:r>
      <w:r w:rsidRPr="00BA7DE1">
        <w:rPr>
          <w:spacing w:val="-10"/>
          <w:sz w:val="36"/>
          <w:szCs w:val="36"/>
        </w:rPr>
        <w:t>, World Health Organization: Geneva, 2009.</w:t>
      </w:r>
    </w:p>
    <w:p w14:paraId="7E5C43C2" w14:textId="2B25216B" w:rsidR="00BA7DE1" w:rsidRPr="00BA7DE1" w:rsidRDefault="00BA7DE1" w:rsidP="00BA7DE1">
      <w:pPr>
        <w:pStyle w:val="Reference"/>
        <w:numPr>
          <w:ilvl w:val="0"/>
          <w:numId w:val="53"/>
        </w:numPr>
        <w:ind w:left="567" w:hanging="567"/>
        <w:rPr>
          <w:sz w:val="36"/>
          <w:szCs w:val="36"/>
        </w:rPr>
      </w:pPr>
      <w:r w:rsidRPr="00BA7DE1">
        <w:rPr>
          <w:sz w:val="36"/>
          <w:szCs w:val="36"/>
        </w:rPr>
        <w:t xml:space="preserve">WHA, 2002: </w:t>
      </w:r>
      <w:r w:rsidRPr="00BA7DE1">
        <w:rPr>
          <w:i/>
          <w:iCs/>
          <w:sz w:val="36"/>
          <w:szCs w:val="36"/>
        </w:rPr>
        <w:t>Quality of care: patient safety, Resolution WHA55.18</w:t>
      </w:r>
      <w:r w:rsidRPr="00BA7DE1">
        <w:rPr>
          <w:sz w:val="36"/>
          <w:szCs w:val="36"/>
        </w:rPr>
        <w:t>, Fifty-Fifth World Health Assembly, 18 May 2002.</w:t>
      </w:r>
    </w:p>
    <w:p w14:paraId="34A0718C" w14:textId="21D972CA" w:rsidR="00BA7DE1" w:rsidRPr="00BA7DE1" w:rsidRDefault="00BA7DE1" w:rsidP="00BA7DE1">
      <w:pPr>
        <w:pStyle w:val="Reference"/>
        <w:numPr>
          <w:ilvl w:val="0"/>
          <w:numId w:val="53"/>
        </w:numPr>
        <w:ind w:left="567" w:hanging="567"/>
        <w:rPr>
          <w:sz w:val="36"/>
          <w:szCs w:val="36"/>
        </w:rPr>
      </w:pPr>
      <w:proofErr w:type="spellStart"/>
      <w:r w:rsidRPr="00BA7DE1">
        <w:rPr>
          <w:sz w:val="36"/>
          <w:szCs w:val="36"/>
        </w:rPr>
        <w:t>Godlee</w:t>
      </w:r>
      <w:proofErr w:type="spellEnd"/>
      <w:r w:rsidRPr="00BA7DE1">
        <w:rPr>
          <w:sz w:val="36"/>
          <w:szCs w:val="36"/>
        </w:rPr>
        <w:t xml:space="preserve"> F, 2018: Why aren’t medical devices regulated like drugs? </w:t>
      </w:r>
      <w:r w:rsidRPr="00BA7DE1">
        <w:rPr>
          <w:i/>
          <w:iCs/>
          <w:sz w:val="36"/>
          <w:szCs w:val="36"/>
        </w:rPr>
        <w:t>The BMJ</w:t>
      </w:r>
      <w:r w:rsidRPr="00BA7DE1">
        <w:rPr>
          <w:sz w:val="36"/>
          <w:szCs w:val="36"/>
        </w:rPr>
        <w:t xml:space="preserve"> 2018;</w:t>
      </w:r>
      <w:proofErr w:type="gramStart"/>
      <w:r w:rsidRPr="00BA7DE1">
        <w:rPr>
          <w:sz w:val="36"/>
          <w:szCs w:val="36"/>
        </w:rPr>
        <w:t>363:k</w:t>
      </w:r>
      <w:proofErr w:type="gramEnd"/>
      <w:r w:rsidRPr="00BA7DE1">
        <w:rPr>
          <w:sz w:val="36"/>
          <w:szCs w:val="36"/>
        </w:rPr>
        <w:t>5032.</w:t>
      </w:r>
    </w:p>
    <w:p w14:paraId="0A30DC4F" w14:textId="116FE583" w:rsidR="00BA7DE1" w:rsidRPr="00BA7DE1" w:rsidRDefault="00BA7DE1" w:rsidP="00BA7DE1">
      <w:pPr>
        <w:pStyle w:val="Reference"/>
        <w:numPr>
          <w:ilvl w:val="0"/>
          <w:numId w:val="53"/>
        </w:numPr>
        <w:ind w:left="567" w:hanging="567"/>
        <w:rPr>
          <w:rStyle w:val="markedcontent"/>
          <w:rFonts w:ascii="Times New Roman" w:hAnsi="Times New Roman"/>
          <w:sz w:val="36"/>
          <w:szCs w:val="36"/>
        </w:rPr>
      </w:pPr>
      <w:r w:rsidRPr="00BA7DE1">
        <w:rPr>
          <w:sz w:val="36"/>
          <w:szCs w:val="36"/>
        </w:rPr>
        <w:t xml:space="preserve">ICIJ, 2018: </w:t>
      </w:r>
      <w:r w:rsidRPr="00BA7DE1">
        <w:rPr>
          <w:rStyle w:val="Hyperlink"/>
          <w:rFonts w:ascii="Calibri" w:eastAsiaTheme="majorEastAsia" w:hAnsi="Calibri" w:cs="Calibri"/>
          <w:sz w:val="36"/>
          <w:szCs w:val="36"/>
        </w:rPr>
        <w:t xml:space="preserve">Medical Devices Harm Patients Worldwide </w:t>
      </w:r>
      <w:proofErr w:type="gramStart"/>
      <w:r w:rsidRPr="00BA7DE1">
        <w:rPr>
          <w:rStyle w:val="Hyperlink"/>
          <w:rFonts w:ascii="Calibri" w:eastAsiaTheme="majorEastAsia" w:hAnsi="Calibri" w:cs="Calibri"/>
          <w:sz w:val="36"/>
          <w:szCs w:val="36"/>
        </w:rPr>
        <w:t>As</w:t>
      </w:r>
      <w:proofErr w:type="gramEnd"/>
      <w:r w:rsidRPr="00BA7DE1">
        <w:rPr>
          <w:rStyle w:val="Hyperlink"/>
          <w:rFonts w:ascii="Calibri" w:eastAsiaTheme="majorEastAsia" w:hAnsi="Calibri" w:cs="Calibri"/>
          <w:sz w:val="36"/>
          <w:szCs w:val="36"/>
        </w:rPr>
        <w:t xml:space="preserve"> Governments Fail On Safety</w:t>
      </w:r>
      <w:r w:rsidRPr="00BA7DE1">
        <w:rPr>
          <w:sz w:val="36"/>
          <w:szCs w:val="36"/>
        </w:rPr>
        <w:t xml:space="preserve">, </w:t>
      </w:r>
      <w:r w:rsidRPr="00BA7DE1">
        <w:rPr>
          <w:i/>
          <w:iCs/>
          <w:sz w:val="36"/>
          <w:szCs w:val="36"/>
        </w:rPr>
        <w:t>The Implant Files</w:t>
      </w:r>
      <w:r w:rsidRPr="00BA7DE1">
        <w:rPr>
          <w:sz w:val="36"/>
          <w:szCs w:val="36"/>
        </w:rPr>
        <w:t>, International Consortium of Investigative Journalists.</w:t>
      </w:r>
    </w:p>
    <w:p w14:paraId="061F7838" w14:textId="77777777" w:rsidR="00CE05E4" w:rsidRPr="00CE05E4" w:rsidRDefault="00CE05E4" w:rsidP="00CE05E4">
      <w:pPr>
        <w:pStyle w:val="BodyText"/>
        <w:rPr>
          <w:b/>
          <w:bCs/>
          <w:sz w:val="44"/>
          <w:szCs w:val="44"/>
        </w:rPr>
      </w:pPr>
    </w:p>
    <w:p w14:paraId="2ACBB926" w14:textId="5C08BB90" w:rsidR="004C5329" w:rsidRDefault="00BA7DE1" w:rsidP="00920D80">
      <w:pPr>
        <w:pStyle w:val="Heading1"/>
      </w:pPr>
      <w:r>
        <w:lastRenderedPageBreak/>
        <w:t>Will Our Women’s Health Strategy Be What We Need it to Be?</w:t>
      </w:r>
    </w:p>
    <w:p w14:paraId="5935395A" w14:textId="77777777" w:rsidR="00BA7DE1" w:rsidRDefault="00BA7DE1" w:rsidP="00403EAB">
      <w:pPr>
        <w:pStyle w:val="BodyText"/>
      </w:pPr>
      <w:r>
        <w:t>By Sue Claridge</w:t>
      </w:r>
      <w:r w:rsidRPr="00955F61">
        <w:t xml:space="preserve"> </w:t>
      </w:r>
    </w:p>
    <w:p w14:paraId="72F8B352" w14:textId="3740C52C" w:rsidR="00BA7DE1" w:rsidRPr="00372715" w:rsidRDefault="00BA7DE1" w:rsidP="00BA7DE1">
      <w:pPr>
        <w:pStyle w:val="BodyText"/>
      </w:pPr>
      <w:r w:rsidRPr="00372715">
        <w:t>Calls for a women’s health strategy for Aotearoa New Zealand began at le</w:t>
      </w:r>
      <w:r>
        <w:t>a</w:t>
      </w:r>
      <w:r w:rsidRPr="00372715">
        <w:t xml:space="preserve">st as early as 2014, with the Women’s Health Action discussion paper, </w:t>
      </w:r>
      <w:r w:rsidRPr="007152F9">
        <w:rPr>
          <w:i/>
          <w:iCs/>
        </w:rPr>
        <w:t>A Case for a National Women’s Health Strategy in Aotearoa New Zealand</w:t>
      </w:r>
      <w:r>
        <w:t>. They wrote:</w:t>
      </w:r>
    </w:p>
    <w:p w14:paraId="4A045689" w14:textId="000F4432" w:rsidR="00BA7DE1" w:rsidRPr="00BA7DE1" w:rsidRDefault="00BA7DE1" w:rsidP="00BA7DE1">
      <w:pPr>
        <w:pStyle w:val="Quote"/>
        <w:ind w:left="284" w:right="282"/>
        <w:rPr>
          <w:b/>
          <w:bCs/>
          <w:i w:val="0"/>
          <w:iCs w:val="0"/>
          <w:sz w:val="36"/>
          <w:szCs w:val="36"/>
          <w:vertAlign w:val="superscript"/>
        </w:rPr>
      </w:pPr>
      <w:r w:rsidRPr="00BA7DE1">
        <w:rPr>
          <w:b/>
          <w:bCs/>
          <w:i w:val="0"/>
          <w:iCs w:val="0"/>
          <w:sz w:val="36"/>
          <w:szCs w:val="36"/>
        </w:rPr>
        <w:t>A women’s health strategy recognises that sex and gender</w:t>
      </w:r>
      <w:r w:rsidRPr="00BA7DE1">
        <w:rPr>
          <w:rStyle w:val="A9"/>
          <w:b/>
          <w:bCs/>
          <w:i w:val="0"/>
          <w:iCs w:val="0"/>
          <w:sz w:val="36"/>
          <w:szCs w:val="36"/>
        </w:rPr>
        <w:t xml:space="preserve"> </w:t>
      </w:r>
      <w:r w:rsidRPr="00BA7DE1">
        <w:rPr>
          <w:b/>
          <w:bCs/>
          <w:i w:val="0"/>
          <w:iCs w:val="0"/>
          <w:sz w:val="36"/>
          <w:szCs w:val="36"/>
        </w:rPr>
        <w:t>are basic determinants of health, which give rise to different health outcomes and different health care needs for women and men.</w:t>
      </w:r>
      <w:r w:rsidRPr="00BA7DE1">
        <w:rPr>
          <w:b/>
          <w:bCs/>
          <w:i w:val="0"/>
          <w:iCs w:val="0"/>
          <w:sz w:val="36"/>
          <w:szCs w:val="36"/>
          <w:vertAlign w:val="superscript"/>
        </w:rPr>
        <w:t xml:space="preserve"> </w:t>
      </w:r>
    </w:p>
    <w:p w14:paraId="2378A874" w14:textId="72FC77F1" w:rsidR="00BA7DE1" w:rsidRDefault="00BA7DE1" w:rsidP="00BA7DE1">
      <w:pPr>
        <w:pStyle w:val="BodyText"/>
      </w:pPr>
      <w:r>
        <w:t xml:space="preserve">Over the last few years, Auckland Women’s Health Council has added our voice to the increasingly loud calls for inequities and disparities in women’s health to be addressed. In our </w:t>
      </w:r>
      <w:hyperlink r:id="rId14" w:history="1">
        <w:r w:rsidRPr="00B72815">
          <w:rPr>
            <w:rStyle w:val="Hyperlink"/>
            <w:rFonts w:ascii="Myriad Pro" w:hAnsi="Myriad Pro"/>
          </w:rPr>
          <w:t>submission on the Pae Ora (Healthy Futures) Bill</w:t>
        </w:r>
      </w:hyperlink>
      <w:r>
        <w:t xml:space="preserve"> we argued strongly for a women’s health strategy to be added to the health strategies to be developed under the new legislation. Those calls were answered, and the inclusion of a women’s health strategy was announced in April 2022. </w:t>
      </w:r>
    </w:p>
    <w:p w14:paraId="66E32615" w14:textId="61250D88" w:rsidR="00BA7DE1" w:rsidRDefault="00BA7DE1" w:rsidP="00BA7DE1">
      <w:pPr>
        <w:pStyle w:val="BodyText"/>
      </w:pPr>
      <w:r>
        <w:t xml:space="preserve">At the end of 2022, </w:t>
      </w:r>
      <w:proofErr w:type="spellStart"/>
      <w:r>
        <w:t>Manatū</w:t>
      </w:r>
      <w:proofErr w:type="spellEnd"/>
      <w:r>
        <w:t xml:space="preserve"> Hauora | Ministry of Health called for written submissions on the women’s health strategy and we recently lodged </w:t>
      </w:r>
      <w:hyperlink r:id="rId15" w:history="1">
        <w:r w:rsidRPr="00B72815">
          <w:rPr>
            <w:rStyle w:val="Hyperlink"/>
            <w:rFonts w:ascii="Myriad Pro" w:hAnsi="Myriad Pro"/>
          </w:rPr>
          <w:t>our submission</w:t>
        </w:r>
      </w:hyperlink>
      <w:r>
        <w:t>.</w:t>
      </w:r>
    </w:p>
    <w:p w14:paraId="3338D975" w14:textId="77777777" w:rsidR="00BA7DE1" w:rsidRDefault="00BA7DE1" w:rsidP="00BA7DE1">
      <w:pPr>
        <w:pStyle w:val="BodyText"/>
      </w:pPr>
      <w:r w:rsidRPr="001C0DD2">
        <w:t xml:space="preserve">Many women in this country do not have accessible, affordable, available, and culturally appropriate and acceptable health care. Beyond this, an unacceptable number of women are harmed in some way – often extremely seriously – by their experiences of health care, and many more have their basic health care rights </w:t>
      </w:r>
      <w:r w:rsidRPr="001C0DD2">
        <w:lastRenderedPageBreak/>
        <w:t>breached. The women’s health strategy must address the inequities and disparities, and harm/injury experienced by women in health care.</w:t>
      </w:r>
    </w:p>
    <w:p w14:paraId="26FB3193" w14:textId="77777777" w:rsidR="00BA7DE1" w:rsidRPr="007209BF" w:rsidRDefault="00BA7DE1" w:rsidP="00BA7DE1">
      <w:pPr>
        <w:pStyle w:val="BodyText"/>
        <w:spacing w:after="0" w:afterAutospacing="0"/>
      </w:pPr>
      <w:r>
        <w:t>There are many things we need the women’s health strategy to be. It</w:t>
      </w:r>
      <w:r w:rsidRPr="001C0DD2">
        <w:t xml:space="preserve"> MUST focus on more than sexual and reproductive health. It MUST focus on the leading causes of loss of quality of life, </w:t>
      </w:r>
      <w:proofErr w:type="gramStart"/>
      <w:r w:rsidRPr="001C0DD2">
        <w:t>disability</w:t>
      </w:r>
      <w:proofErr w:type="gramEnd"/>
      <w:r w:rsidRPr="001C0DD2">
        <w:t xml:space="preserve"> and death for women. The strategy must:</w:t>
      </w:r>
    </w:p>
    <w:p w14:paraId="0DA9A69A" w14:textId="77777777" w:rsidR="00BA7DE1" w:rsidRDefault="00BA7DE1" w:rsidP="00BA7DE1">
      <w:pPr>
        <w:pStyle w:val="BodyText"/>
        <w:numPr>
          <w:ilvl w:val="0"/>
          <w:numId w:val="60"/>
        </w:numPr>
        <w:spacing w:before="120" w:beforeAutospacing="0"/>
        <w:jc w:val="both"/>
      </w:pPr>
      <w:r>
        <w:t xml:space="preserve">take a life course approach that addresses health needs in different stages in a woman’s </w:t>
      </w:r>
      <w:proofErr w:type="gramStart"/>
      <w:r>
        <w:t>life;</w:t>
      </w:r>
      <w:proofErr w:type="gramEnd"/>
    </w:p>
    <w:p w14:paraId="40691F63" w14:textId="77777777" w:rsidR="00BA7DE1" w:rsidRDefault="00BA7DE1" w:rsidP="00BA7DE1">
      <w:pPr>
        <w:pStyle w:val="BodyText"/>
        <w:numPr>
          <w:ilvl w:val="0"/>
          <w:numId w:val="60"/>
        </w:numPr>
        <w:spacing w:before="120" w:beforeAutospacing="0"/>
        <w:jc w:val="both"/>
      </w:pPr>
      <w:r>
        <w:t xml:space="preserve">focus on achieving and maintaining health not just treating </w:t>
      </w:r>
      <w:proofErr w:type="gramStart"/>
      <w:r>
        <w:t>ill-health;</w:t>
      </w:r>
      <w:proofErr w:type="gramEnd"/>
      <w:r w:rsidRPr="00156EED">
        <w:t xml:space="preserve"> </w:t>
      </w:r>
    </w:p>
    <w:p w14:paraId="1BE5F0B5" w14:textId="77777777" w:rsidR="00BA7DE1" w:rsidRDefault="00BA7DE1" w:rsidP="00BA7DE1">
      <w:pPr>
        <w:pStyle w:val="BodyText"/>
        <w:numPr>
          <w:ilvl w:val="0"/>
          <w:numId w:val="60"/>
        </w:numPr>
        <w:spacing w:before="120" w:beforeAutospacing="0"/>
        <w:jc w:val="both"/>
      </w:pPr>
      <w:r>
        <w:rPr>
          <w:rStyle w:val="markedcontent"/>
          <w:rFonts w:eastAsiaTheme="majorEastAsia"/>
        </w:rPr>
        <w:t xml:space="preserve">acknowledge the factors that influence women’s lives and health such as ethnicity, disability, sexual identity and </w:t>
      </w:r>
      <w:proofErr w:type="gramStart"/>
      <w:r>
        <w:rPr>
          <w:rStyle w:val="markedcontent"/>
          <w:rFonts w:eastAsiaTheme="majorEastAsia"/>
        </w:rPr>
        <w:t>background;</w:t>
      </w:r>
      <w:proofErr w:type="gramEnd"/>
    </w:p>
    <w:p w14:paraId="5F501E21" w14:textId="77777777" w:rsidR="00BA7DE1" w:rsidRDefault="00BA7DE1" w:rsidP="00BA7DE1">
      <w:pPr>
        <w:pStyle w:val="BodyText"/>
        <w:numPr>
          <w:ilvl w:val="0"/>
          <w:numId w:val="60"/>
        </w:numPr>
        <w:spacing w:before="120" w:beforeAutospacing="0"/>
        <w:jc w:val="both"/>
      </w:pPr>
      <w:r>
        <w:t xml:space="preserve">address the social determinants of health: gender is a social determinant of health, interacting with other factors such as income and poverty, education, occupation, housing, and domestic </w:t>
      </w:r>
      <w:proofErr w:type="gramStart"/>
      <w:r>
        <w:t>violence;</w:t>
      </w:r>
      <w:proofErr w:type="gramEnd"/>
    </w:p>
    <w:p w14:paraId="1FA0B1AE" w14:textId="77777777" w:rsidR="00BA7DE1" w:rsidRPr="001F360F" w:rsidRDefault="00BA7DE1" w:rsidP="00BA7DE1">
      <w:pPr>
        <w:pStyle w:val="BodyText"/>
        <w:numPr>
          <w:ilvl w:val="0"/>
          <w:numId w:val="60"/>
        </w:numPr>
        <w:spacing w:before="120" w:beforeAutospacing="0"/>
        <w:jc w:val="both"/>
        <w:rPr>
          <w:spacing w:val="-2"/>
        </w:rPr>
      </w:pPr>
      <w:r w:rsidRPr="001F360F">
        <w:rPr>
          <w:spacing w:val="-2"/>
        </w:rPr>
        <w:t xml:space="preserve">include a national health needs assessment for women and provide for gender analysis in any assessment of population health needs; a gendered approach to the collection and utilisation of health </w:t>
      </w:r>
      <w:proofErr w:type="gramStart"/>
      <w:r w:rsidRPr="001F360F">
        <w:rPr>
          <w:spacing w:val="-2"/>
        </w:rPr>
        <w:t>data;</w:t>
      </w:r>
      <w:proofErr w:type="gramEnd"/>
    </w:p>
    <w:p w14:paraId="72CD23F1" w14:textId="77777777" w:rsidR="00BA7DE1" w:rsidRDefault="00BA7DE1" w:rsidP="00BA7DE1">
      <w:pPr>
        <w:pStyle w:val="BodyText"/>
        <w:numPr>
          <w:ilvl w:val="0"/>
          <w:numId w:val="60"/>
        </w:numPr>
        <w:spacing w:before="120" w:beforeAutospacing="0"/>
        <w:jc w:val="both"/>
      </w:pPr>
      <w:r>
        <w:t xml:space="preserve">examine the pathways and quality of care for women within the health system; identify evidence-based strategies that could be implemented to ensure women receive the best available </w:t>
      </w:r>
      <w:proofErr w:type="gramStart"/>
      <w:r>
        <w:t>care;</w:t>
      </w:r>
      <w:proofErr w:type="gramEnd"/>
    </w:p>
    <w:p w14:paraId="42E8DC8C" w14:textId="77777777" w:rsidR="00BA7DE1" w:rsidRDefault="00BA7DE1" w:rsidP="00BA7DE1">
      <w:pPr>
        <w:pStyle w:val="BodyText"/>
        <w:numPr>
          <w:ilvl w:val="0"/>
          <w:numId w:val="60"/>
        </w:numPr>
        <w:spacing w:before="120" w:beforeAutospacing="0"/>
        <w:jc w:val="both"/>
      </w:pPr>
      <w:r>
        <w:t xml:space="preserve">consistently recognise, promote and allocate resources to address a broader, integrated women’s health </w:t>
      </w:r>
      <w:proofErr w:type="gramStart"/>
      <w:r>
        <w:t>agenda;</w:t>
      </w:r>
      <w:proofErr w:type="gramEnd"/>
      <w:r>
        <w:t xml:space="preserve"> </w:t>
      </w:r>
    </w:p>
    <w:p w14:paraId="7A61B468" w14:textId="77777777" w:rsidR="00BA7DE1" w:rsidRDefault="00BA7DE1" w:rsidP="00BA7DE1">
      <w:pPr>
        <w:pStyle w:val="BodyText"/>
        <w:numPr>
          <w:ilvl w:val="0"/>
          <w:numId w:val="60"/>
        </w:numPr>
        <w:spacing w:before="120" w:beforeAutospacing="0"/>
        <w:jc w:val="both"/>
      </w:pPr>
      <w:r>
        <w:lastRenderedPageBreak/>
        <w:t xml:space="preserve">address the </w:t>
      </w:r>
      <w:r w:rsidRPr="00D3172A">
        <w:t>barriers to women seeking early care</w:t>
      </w:r>
      <w:r>
        <w:t xml:space="preserve"> (which include time, responsibilities, care of other family members, childcare, jobs and transport, as well as financial considerations),</w:t>
      </w:r>
      <w:r w:rsidRPr="00D3172A">
        <w:t xml:space="preserve"> and develop and implement strategies to improve timely access to </w:t>
      </w:r>
      <w:proofErr w:type="gramStart"/>
      <w:r w:rsidRPr="00D3172A">
        <w:t>care</w:t>
      </w:r>
      <w:r>
        <w:t>;</w:t>
      </w:r>
      <w:proofErr w:type="gramEnd"/>
    </w:p>
    <w:p w14:paraId="1152F9E9" w14:textId="77777777" w:rsidR="00BA7DE1" w:rsidRDefault="00BA7DE1" w:rsidP="00BA7DE1">
      <w:pPr>
        <w:pStyle w:val="BodyText"/>
        <w:numPr>
          <w:ilvl w:val="0"/>
          <w:numId w:val="60"/>
        </w:numPr>
        <w:spacing w:before="120" w:beforeAutospacing="0"/>
        <w:jc w:val="both"/>
      </w:pPr>
      <w:r>
        <w:t xml:space="preserve">require that all medical and health research in Aotearoa New Zealand is appropriately designed to facilitate the inclusion of gendered analyses, and that appropriate and representative numbers of women are included in clinical </w:t>
      </w:r>
      <w:proofErr w:type="gramStart"/>
      <w:r>
        <w:t>trials;</w:t>
      </w:r>
      <w:proofErr w:type="gramEnd"/>
    </w:p>
    <w:p w14:paraId="374A2A80" w14:textId="77777777" w:rsidR="00BA7DE1" w:rsidRDefault="00BA7DE1" w:rsidP="00BA7DE1">
      <w:pPr>
        <w:pStyle w:val="BodyText"/>
        <w:numPr>
          <w:ilvl w:val="0"/>
          <w:numId w:val="60"/>
        </w:numPr>
        <w:spacing w:before="120" w:beforeAutospacing="0"/>
        <w:jc w:val="both"/>
      </w:pPr>
      <w:r>
        <w:t xml:space="preserve">involve </w:t>
      </w:r>
      <w:r w:rsidRPr="00B10210">
        <w:t xml:space="preserve">consumers in monitoring and reviewing the progress of the </w:t>
      </w:r>
      <w:r>
        <w:t xml:space="preserve">women’s </w:t>
      </w:r>
      <w:r w:rsidRPr="00B10210">
        <w:t xml:space="preserve">health strategy, and assessing how the health system has </w:t>
      </w:r>
      <w:r w:rsidRPr="003360DE">
        <w:t>performed against the strategy</w:t>
      </w:r>
      <w:r w:rsidRPr="00B10210">
        <w:t>.</w:t>
      </w:r>
    </w:p>
    <w:p w14:paraId="334D3596" w14:textId="77777777" w:rsidR="00BA7DE1" w:rsidRDefault="00BA7DE1" w:rsidP="00BA7DE1">
      <w:pPr>
        <w:pStyle w:val="BodyText"/>
      </w:pPr>
      <w:bookmarkStart w:id="6" w:name="_Hlk131149715"/>
      <w:r w:rsidRPr="00B72815">
        <w:rPr>
          <w:spacing w:val="-6"/>
        </w:rPr>
        <w:t>What we also need the women’s health strategy to be is informed.</w:t>
      </w:r>
      <w:r>
        <w:t xml:space="preserve"> It must be informed by the lived experience of wāhine/women in Aotearoa New Zealand. The only way that the women’s health strategy can possibly address the inequities and disparities, the barriers and discrimination that women face in health care and health outcomes, is for the women’s health strategy team tasked with developing the strategy is to talk to women from all over the country and hear about their experiences and their needs. They need to hear all the ways in which the health system is failing women. </w:t>
      </w:r>
    </w:p>
    <w:p w14:paraId="340D811A" w14:textId="6584F704" w:rsidR="00BA7DE1" w:rsidRDefault="00BA7DE1" w:rsidP="00BA7DE1">
      <w:pPr>
        <w:pStyle w:val="BodyText"/>
      </w:pPr>
      <w:r>
        <w:t xml:space="preserve">We believe that the </w:t>
      </w:r>
      <w:proofErr w:type="spellStart"/>
      <w:r>
        <w:t>Manatū</w:t>
      </w:r>
      <w:proofErr w:type="spellEnd"/>
      <w:r>
        <w:t xml:space="preserve"> Hauora | Ministry of Health women’s health strategy team probably want to do this. The constraint is time. The Pae Ora (Healthy Futures) Act 2022 requires that the various health strategies including the women’s health strategy, take effect 12 months after the enactment of the legislation – that is, in June 2023. </w:t>
      </w:r>
    </w:p>
    <w:p w14:paraId="051E9279" w14:textId="0DEF981B" w:rsidR="00BA7DE1" w:rsidRDefault="00BA7DE1" w:rsidP="00BA7DE1">
      <w:pPr>
        <w:pStyle w:val="BodyText"/>
      </w:pPr>
      <w:r w:rsidRPr="00612B42">
        <w:lastRenderedPageBreak/>
        <w:t xml:space="preserve">This is insufficient time to adequately seek and collect women’s </w:t>
      </w:r>
      <w:proofErr w:type="gramStart"/>
      <w:r w:rsidRPr="00612B42">
        <w:t>stories;</w:t>
      </w:r>
      <w:proofErr w:type="gramEnd"/>
      <w:r w:rsidRPr="00612B42">
        <w:t xml:space="preserve"> their experiences and their needs. In December 2022 </w:t>
      </w:r>
      <w:proofErr w:type="spellStart"/>
      <w:r w:rsidRPr="00612B42">
        <w:t>Manatū</w:t>
      </w:r>
      <w:proofErr w:type="spellEnd"/>
      <w:r w:rsidRPr="00612B42">
        <w:t xml:space="preserve"> Hauora | Ministry of Health set up an </w:t>
      </w:r>
      <w:hyperlink r:id="rId16" w:history="1">
        <w:r w:rsidRPr="00B72815">
          <w:rPr>
            <w:rStyle w:val="Hyperlink"/>
            <w:rFonts w:asciiTheme="minorHAnsi" w:hAnsiTheme="minorHAnsi" w:cstheme="minorHAnsi"/>
          </w:rPr>
          <w:t>online platform – Tātou</w:t>
        </w:r>
      </w:hyperlink>
      <w:r w:rsidRPr="00B72815">
        <w:rPr>
          <w:rFonts w:asciiTheme="minorHAnsi" w:hAnsiTheme="minorHAnsi" w:cstheme="minorHAnsi"/>
        </w:rPr>
        <w:t xml:space="preserve"> </w:t>
      </w:r>
      <w:r w:rsidRPr="00612B42">
        <w:t xml:space="preserve">– for people to contribute their ideas for improvements to the health system including for the health strategies. When it was </w:t>
      </w:r>
      <w:proofErr w:type="gramStart"/>
      <w:r w:rsidRPr="00612B42">
        <w:t>launched</w:t>
      </w:r>
      <w:proofErr w:type="gramEnd"/>
      <w:r w:rsidRPr="00612B42">
        <w:t xml:space="preserve"> they said </w:t>
      </w:r>
      <w:r w:rsidRPr="00612B42">
        <w:rPr>
          <w:rStyle w:val="normaltextrun"/>
        </w:rPr>
        <w:t>“in order to develop [the health] strategies, we want to hear from and speak with a wide range of people and organisations. This will help to ensure the strategies meet needs of those they’re meant to serve.  One way we want to hear from you is our Tātou online platform, which is now LIVE</w:t>
      </w:r>
      <w:r>
        <w:rPr>
          <w:rStyle w:val="normaltextrun"/>
        </w:rPr>
        <w:t>!</w:t>
      </w:r>
      <w:r w:rsidRPr="00612B42">
        <w:rPr>
          <w:rStyle w:val="normaltextrun"/>
        </w:rPr>
        <w:t>”</w:t>
      </w:r>
      <w:r w:rsidRPr="00612B42">
        <w:t xml:space="preserve"> As of the 29</w:t>
      </w:r>
      <w:r w:rsidRPr="00612B42">
        <w:rPr>
          <w:vertAlign w:val="superscript"/>
        </w:rPr>
        <w:t>th</w:t>
      </w:r>
      <w:r w:rsidRPr="00612B42">
        <w:t xml:space="preserve"> of March 2023</w:t>
      </w:r>
      <w:r>
        <w:t>,</w:t>
      </w:r>
      <w:r w:rsidRPr="00612B42">
        <w:t xml:space="preserve"> only 80 ideas ha</w:t>
      </w:r>
      <w:r>
        <w:t>d</w:t>
      </w:r>
      <w:r w:rsidRPr="00612B42">
        <w:t xml:space="preserve"> been contributed</w:t>
      </w:r>
      <w:r>
        <w:t xml:space="preserve"> to the “</w:t>
      </w:r>
      <w:r w:rsidRPr="008D31FA">
        <w:t xml:space="preserve">Achieving </w:t>
      </w:r>
      <w:proofErr w:type="spellStart"/>
      <w:r w:rsidRPr="008D31FA">
        <w:t>pae</w:t>
      </w:r>
      <w:proofErr w:type="spellEnd"/>
      <w:r w:rsidRPr="008D31FA">
        <w:t xml:space="preserve"> ora (healthy futures)</w:t>
      </w:r>
      <w:r>
        <w:t>” discussion</w:t>
      </w:r>
      <w:r w:rsidRPr="00612B42">
        <w:t xml:space="preserve">, from a population of five million! </w:t>
      </w:r>
    </w:p>
    <w:p w14:paraId="0DADF784" w14:textId="77777777" w:rsidR="00BA7DE1" w:rsidRPr="00B72815" w:rsidRDefault="00BA7DE1" w:rsidP="00BA7DE1">
      <w:pPr>
        <w:pStyle w:val="Quote"/>
        <w:rPr>
          <w:rStyle w:val="markedcontent"/>
          <w:rFonts w:asciiTheme="minorHAnsi" w:eastAsiaTheme="majorEastAsia" w:hAnsiTheme="minorHAnsi" w:cstheme="minorHAnsi"/>
          <w:i w:val="0"/>
          <w:iCs w:val="0"/>
          <w:color w:val="auto"/>
          <w:sz w:val="36"/>
          <w:szCs w:val="36"/>
        </w:rPr>
      </w:pPr>
      <w:r w:rsidRPr="00B72815">
        <w:rPr>
          <w:rStyle w:val="markedcontent"/>
          <w:rFonts w:asciiTheme="minorHAnsi" w:eastAsiaTheme="majorEastAsia" w:hAnsiTheme="minorHAnsi" w:cstheme="minorHAnsi"/>
          <w:i w:val="0"/>
          <w:iCs w:val="0"/>
          <w:color w:val="auto"/>
          <w:sz w:val="36"/>
          <w:szCs w:val="36"/>
        </w:rPr>
        <w:t>"This is a bizarre way of getting feedback and I am confused about who it is targeting. Certainly not the most vulnerable users of the health system."</w:t>
      </w:r>
    </w:p>
    <w:p w14:paraId="65FD4676" w14:textId="77777777" w:rsidR="00BA7DE1" w:rsidRPr="00B72815" w:rsidRDefault="00BA7DE1" w:rsidP="00BA7DE1">
      <w:pPr>
        <w:spacing w:before="120"/>
        <w:jc w:val="right"/>
        <w:rPr>
          <w:rFonts w:asciiTheme="minorHAnsi" w:hAnsiTheme="minorHAnsi" w:cstheme="minorHAnsi"/>
          <w:sz w:val="36"/>
          <w:szCs w:val="36"/>
        </w:rPr>
      </w:pPr>
      <w:r w:rsidRPr="00B72815">
        <w:rPr>
          <w:rFonts w:asciiTheme="minorHAnsi" w:hAnsiTheme="minorHAnsi" w:cstheme="minorHAnsi"/>
          <w:sz w:val="36"/>
          <w:szCs w:val="36"/>
        </w:rPr>
        <w:t>— A contributor on the Transforming the Health System Discussion</w:t>
      </w:r>
    </w:p>
    <w:p w14:paraId="40851B75" w14:textId="77777777" w:rsidR="00BA7DE1" w:rsidRPr="00997C4E" w:rsidRDefault="00BA7DE1" w:rsidP="00BA7DE1"/>
    <w:p w14:paraId="4D7B3FF4" w14:textId="77777777" w:rsidR="00BA7DE1" w:rsidRPr="00997C4E" w:rsidRDefault="00BA7DE1" w:rsidP="00BA7DE1"/>
    <w:p w14:paraId="0C51556D" w14:textId="77777777" w:rsidR="00BA7DE1" w:rsidRDefault="00BA7DE1" w:rsidP="00BA7DE1">
      <w:pPr>
        <w:pStyle w:val="BodyText"/>
      </w:pPr>
      <w:r>
        <w:t>There is now only just over two months before the anniversary of the enacting of the Pae Ora (Healthy Futures) legislation; just over two months until the women’s health strategy must take effect. Just over two months to seek out the views of women/wāhine who most need to be heard: the women who have unmet health need; those who are isolated; those who don’t have internet access; the hard to reach like the elderly, the disabled, the disenfranchised, those for whom English is a second language; those so badly harmed by their experiences that they no longer trust the health system.</w:t>
      </w:r>
    </w:p>
    <w:p w14:paraId="2746EBA6" w14:textId="77777777" w:rsidR="00BA7DE1" w:rsidRDefault="00BA7DE1" w:rsidP="00BA7DE1">
      <w:pPr>
        <w:pStyle w:val="BodyText"/>
      </w:pPr>
      <w:r>
        <w:lastRenderedPageBreak/>
        <w:t xml:space="preserve">We can’t see how the women’s health strategy is going to be properly informed by the women who most need this strategy to address their health needs and remove barriers to both health care and better health outcomes. The women/wāhine who need a health system that will fix the myriad types of harm that has already been done to them and prevent it happening again. </w:t>
      </w:r>
      <w:bookmarkStart w:id="7" w:name="_Hlk131150366"/>
      <w:r>
        <w:t>Past failures of the health system to address the needs of women are in part owing to a failure to engage and listen to women. In effect the Pae Ora (Healthy Futures) Act has set up those developing the women’s health strategy to ensure that the health system will fail again.</w:t>
      </w:r>
    </w:p>
    <w:bookmarkEnd w:id="7"/>
    <w:p w14:paraId="66CB09DB" w14:textId="77777777" w:rsidR="00BA7DE1" w:rsidRDefault="00BA7DE1" w:rsidP="00BA7DE1">
      <w:pPr>
        <w:pStyle w:val="BodyText"/>
      </w:pPr>
      <w:proofErr w:type="gramStart"/>
      <w:r>
        <w:t>In all likelihood</w:t>
      </w:r>
      <w:proofErr w:type="gramEnd"/>
      <w:r>
        <w:t xml:space="preserve"> there is no way to stop the women’s health strategy coming into effect in June. All we can demand now is that it is an interim strategy; that </w:t>
      </w:r>
      <w:proofErr w:type="spellStart"/>
      <w:r w:rsidRPr="00612B42">
        <w:t>Manatū</w:t>
      </w:r>
      <w:proofErr w:type="spellEnd"/>
      <w:r w:rsidRPr="00612B42">
        <w:t xml:space="preserve"> Hauora</w:t>
      </w:r>
      <w:r>
        <w:t xml:space="preserve"> takes another two years to undertake a thorough and complete lived experience survey of women/wāhine, including the hardest to reach and most inadequately served women, undertake a complete gendered analysis of women’s health, and produce the women’s health strategy version 2.   </w:t>
      </w:r>
    </w:p>
    <w:bookmarkEnd w:id="6"/>
    <w:p w14:paraId="408E7B01" w14:textId="77777777" w:rsidR="00EA23B2" w:rsidRPr="00403EAB" w:rsidRDefault="00EA23B2" w:rsidP="00EA23B2">
      <w:pPr>
        <w:autoSpaceDE w:val="0"/>
        <w:autoSpaceDN w:val="0"/>
        <w:adjustRightInd w:val="0"/>
        <w:rPr>
          <w:rFonts w:ascii="AdvPECFD32" w:hAnsi="AdvPECFD32" w:cs="AdvPECFD32"/>
          <w:i/>
          <w:iCs/>
          <w:sz w:val="19"/>
          <w:szCs w:val="19"/>
        </w:rPr>
      </w:pPr>
    </w:p>
    <w:p w14:paraId="7761FA3C" w14:textId="5F452CD8" w:rsidR="00C66AFB" w:rsidRDefault="00C66AFB" w:rsidP="008C29A2">
      <w:pPr>
        <w:pStyle w:val="Heading2"/>
      </w:pPr>
      <w:r>
        <w:t>References</w:t>
      </w:r>
    </w:p>
    <w:p w14:paraId="226FBDED" w14:textId="77777777" w:rsidR="00B72815" w:rsidRPr="00B72815" w:rsidRDefault="00B72815" w:rsidP="00B72815">
      <w:pPr>
        <w:pStyle w:val="Reference"/>
        <w:numPr>
          <w:ilvl w:val="0"/>
          <w:numId w:val="61"/>
        </w:numPr>
        <w:ind w:left="364"/>
        <w:rPr>
          <w:rFonts w:cstheme="minorHAnsi"/>
          <w:sz w:val="36"/>
          <w:szCs w:val="36"/>
        </w:rPr>
      </w:pPr>
      <w:r w:rsidRPr="00B72815">
        <w:rPr>
          <w:rFonts w:cstheme="minorHAnsi"/>
          <w:sz w:val="36"/>
          <w:szCs w:val="36"/>
        </w:rPr>
        <w:t xml:space="preserve">WHA: </w:t>
      </w:r>
      <w:r w:rsidRPr="00B72815">
        <w:rPr>
          <w:rStyle w:val="Hyperlink"/>
          <w:rFonts w:asciiTheme="minorHAnsi" w:eastAsiaTheme="majorEastAsia" w:hAnsiTheme="minorHAnsi" w:cstheme="minorHAnsi"/>
          <w:i/>
          <w:iCs/>
          <w:sz w:val="36"/>
          <w:szCs w:val="36"/>
        </w:rPr>
        <w:t>A Case for a National Women’s Health Strategy in Aotearoa New Zealand</w:t>
      </w:r>
      <w:r w:rsidRPr="00B72815">
        <w:rPr>
          <w:rFonts w:cstheme="minorHAnsi"/>
          <w:sz w:val="36"/>
          <w:szCs w:val="36"/>
        </w:rPr>
        <w:t>, Women’s Health Action.</w:t>
      </w:r>
    </w:p>
    <w:p w14:paraId="33D5E2F9" w14:textId="1A3AA18A" w:rsidR="00B72815" w:rsidRPr="00B72815" w:rsidRDefault="00B72815" w:rsidP="00B72815">
      <w:pPr>
        <w:pStyle w:val="Reference"/>
        <w:numPr>
          <w:ilvl w:val="0"/>
          <w:numId w:val="61"/>
        </w:numPr>
        <w:ind w:left="364"/>
        <w:rPr>
          <w:rStyle w:val="Hyperlink"/>
          <w:rFonts w:asciiTheme="minorHAnsi" w:eastAsiaTheme="majorEastAsia" w:hAnsiTheme="minorHAnsi" w:cstheme="minorHAnsi"/>
          <w:sz w:val="36"/>
          <w:szCs w:val="36"/>
          <w:lang w:val="en-GB"/>
        </w:rPr>
      </w:pPr>
      <w:r w:rsidRPr="00B72815">
        <w:rPr>
          <w:rFonts w:cstheme="minorHAnsi"/>
          <w:sz w:val="36"/>
          <w:szCs w:val="36"/>
          <w:lang w:val="en-GB"/>
        </w:rPr>
        <w:t xml:space="preserve">AWHC Newsletters </w:t>
      </w:r>
      <w:r w:rsidRPr="00B72815">
        <w:rPr>
          <w:rStyle w:val="Hyperlink"/>
          <w:rFonts w:asciiTheme="minorHAnsi" w:eastAsiaTheme="majorEastAsia" w:hAnsiTheme="minorHAnsi" w:cstheme="minorHAnsi"/>
          <w:sz w:val="36"/>
          <w:szCs w:val="36"/>
          <w:lang w:val="en-GB"/>
        </w:rPr>
        <w:t>June-July 2021</w:t>
      </w:r>
      <w:r w:rsidRPr="00B72815">
        <w:rPr>
          <w:rFonts w:cstheme="minorHAnsi"/>
          <w:sz w:val="36"/>
          <w:szCs w:val="36"/>
          <w:lang w:val="en-GB"/>
        </w:rPr>
        <w:t xml:space="preserve"> and </w:t>
      </w:r>
      <w:r w:rsidRPr="00B72815">
        <w:rPr>
          <w:rStyle w:val="Hyperlink"/>
          <w:rFonts w:asciiTheme="minorHAnsi" w:eastAsiaTheme="majorEastAsia" w:hAnsiTheme="minorHAnsi" w:cstheme="minorHAnsi"/>
          <w:sz w:val="36"/>
          <w:szCs w:val="36"/>
          <w:lang w:val="en-GB"/>
        </w:rPr>
        <w:t>October-November 2021</w:t>
      </w:r>
    </w:p>
    <w:p w14:paraId="2508A3CC" w14:textId="7BD656D7" w:rsidR="00B72815" w:rsidRPr="00B72815" w:rsidRDefault="00B72815" w:rsidP="00B72815">
      <w:pPr>
        <w:pStyle w:val="Reference"/>
        <w:numPr>
          <w:ilvl w:val="0"/>
          <w:numId w:val="61"/>
        </w:numPr>
        <w:ind w:left="364"/>
        <w:rPr>
          <w:rFonts w:cstheme="minorHAnsi"/>
          <w:sz w:val="36"/>
          <w:szCs w:val="36"/>
        </w:rPr>
      </w:pPr>
      <w:r w:rsidRPr="00B72815">
        <w:rPr>
          <w:rFonts w:cstheme="minorHAnsi"/>
          <w:sz w:val="36"/>
          <w:szCs w:val="36"/>
        </w:rPr>
        <w:t xml:space="preserve">Russell E, 2022: </w:t>
      </w:r>
      <w:r w:rsidRPr="00B72815">
        <w:rPr>
          <w:rStyle w:val="Hyperlink"/>
          <w:rFonts w:asciiTheme="minorHAnsi" w:eastAsiaTheme="majorEastAsia" w:hAnsiTheme="minorHAnsi" w:cstheme="minorHAnsi"/>
          <w:sz w:val="36"/>
          <w:szCs w:val="36"/>
        </w:rPr>
        <w:t>Govt commits to including a women’s health strategy in new Pae Ora legislation</w:t>
      </w:r>
      <w:r w:rsidRPr="00B72815">
        <w:rPr>
          <w:rFonts w:cstheme="minorHAnsi"/>
          <w:sz w:val="36"/>
          <w:szCs w:val="36"/>
        </w:rPr>
        <w:t xml:space="preserve">, </w:t>
      </w:r>
      <w:r w:rsidRPr="00B72815">
        <w:rPr>
          <w:rFonts w:cstheme="minorHAnsi"/>
          <w:i/>
          <w:iCs/>
          <w:sz w:val="36"/>
          <w:szCs w:val="36"/>
        </w:rPr>
        <w:t>New Zealand Herald</w:t>
      </w:r>
      <w:r w:rsidRPr="00B72815">
        <w:rPr>
          <w:rFonts w:cstheme="minorHAnsi"/>
          <w:sz w:val="36"/>
          <w:szCs w:val="36"/>
        </w:rPr>
        <w:t>, 13 April 2022.</w:t>
      </w:r>
    </w:p>
    <w:p w14:paraId="57807CF5" w14:textId="529DC8F5" w:rsidR="00B72815" w:rsidRPr="00B72815" w:rsidRDefault="00B72815" w:rsidP="00B72815">
      <w:pPr>
        <w:pStyle w:val="Reference"/>
        <w:numPr>
          <w:ilvl w:val="0"/>
          <w:numId w:val="61"/>
        </w:numPr>
        <w:ind w:left="364"/>
        <w:rPr>
          <w:rFonts w:cstheme="minorHAnsi"/>
          <w:sz w:val="36"/>
          <w:szCs w:val="36"/>
        </w:rPr>
      </w:pPr>
      <w:r w:rsidRPr="00B72815">
        <w:rPr>
          <w:rFonts w:cstheme="minorHAnsi"/>
          <w:sz w:val="36"/>
          <w:szCs w:val="36"/>
        </w:rPr>
        <w:lastRenderedPageBreak/>
        <w:t xml:space="preserve">Claridge S, 2023: </w:t>
      </w:r>
      <w:r w:rsidRPr="00B72815">
        <w:rPr>
          <w:rStyle w:val="Hyperlink"/>
          <w:rFonts w:asciiTheme="minorHAnsi" w:eastAsiaTheme="majorEastAsia" w:hAnsiTheme="minorHAnsi" w:cstheme="minorHAnsi"/>
          <w:i/>
          <w:iCs/>
          <w:sz w:val="36"/>
          <w:szCs w:val="36"/>
        </w:rPr>
        <w:t>Submission of the Auckland Women’s Health Council on the Women’s Health Strategy</w:t>
      </w:r>
      <w:r w:rsidRPr="00B72815">
        <w:rPr>
          <w:rFonts w:cstheme="minorHAnsi"/>
          <w:sz w:val="36"/>
          <w:szCs w:val="36"/>
        </w:rPr>
        <w:t>, Auckland Women’s Health Council, 24 March 2023.</w:t>
      </w:r>
    </w:p>
    <w:p w14:paraId="24127844" w14:textId="739C8817" w:rsidR="004C5329" w:rsidRDefault="004C5329" w:rsidP="00403EAB">
      <w:pPr>
        <w:pStyle w:val="BodyText"/>
        <w:spacing w:before="0" w:beforeAutospacing="0" w:after="0" w:afterAutospacing="0"/>
      </w:pPr>
    </w:p>
    <w:p w14:paraId="45C24CCE" w14:textId="77777777" w:rsidR="00B72815" w:rsidRDefault="00B72815" w:rsidP="00B72815">
      <w:pPr>
        <w:pStyle w:val="Heading1"/>
      </w:pPr>
      <w:r>
        <w:t xml:space="preserve">A Consumer-Centred, Co-Designed Health System </w:t>
      </w:r>
    </w:p>
    <w:p w14:paraId="3ED3478C" w14:textId="4A6CA1CC" w:rsidR="00B72815" w:rsidRPr="00B72815" w:rsidRDefault="00B72815" w:rsidP="00403EAB">
      <w:pPr>
        <w:pStyle w:val="BodyText"/>
        <w:rPr>
          <w:b/>
          <w:bCs/>
        </w:rPr>
      </w:pPr>
      <w:r w:rsidRPr="00B72815">
        <w:rPr>
          <w:b/>
          <w:bCs/>
        </w:rPr>
        <w:t>The Consumer Advocacy Alliance’s Five ‘</w:t>
      </w:r>
      <w:r w:rsidRPr="00B72815">
        <w:rPr>
          <w:rFonts w:ascii="Georgia" w:hAnsi="Georgia"/>
          <w:b/>
          <w:bCs/>
        </w:rPr>
        <w:t>I</w:t>
      </w:r>
      <w:r w:rsidRPr="00B72815">
        <w:rPr>
          <w:b/>
          <w:bCs/>
        </w:rPr>
        <w:t>’s Framework for women’s health</w:t>
      </w:r>
    </w:p>
    <w:p w14:paraId="1A39025F" w14:textId="77777777" w:rsidR="00B72815" w:rsidRDefault="00B72815" w:rsidP="00B72815">
      <w:pPr>
        <w:pStyle w:val="BodyText"/>
      </w:pPr>
      <w:r>
        <w:t xml:space="preserve">The women’s health strategy is an opportunity to rethink the way that we deliver health services, to create a truly consumer-centred, co-designed health system. To achieve a health system that does not disadvantage women, and that addresses women’s often complex health needs, we must address gender bias by considering all aspects of health care through a gendered lens. </w:t>
      </w:r>
    </w:p>
    <w:p w14:paraId="181CB993" w14:textId="77777777" w:rsidR="00B72815" w:rsidRDefault="00B72815" w:rsidP="00B72815">
      <w:pPr>
        <w:pStyle w:val="BodyText"/>
      </w:pPr>
      <w:r>
        <w:t>So, what does a consumer-centred, co-designed health system look like?</w:t>
      </w:r>
    </w:p>
    <w:p w14:paraId="210805AF" w14:textId="77777777" w:rsidR="00B72815" w:rsidRDefault="00B72815" w:rsidP="00B72815">
      <w:pPr>
        <w:pStyle w:val="BodyText"/>
      </w:pPr>
      <w:r>
        <w:t xml:space="preserve">The Consumer Advocacy Alliance, of which the Auckland Women’s Health Council is a member, believes that the ideal provision of health care services to women, especially those that live with complex health needs and multiple and often interrelated conditions, is through women’s health clinics that provide “wrap-around” and interdisciplinary health services. </w:t>
      </w:r>
    </w:p>
    <w:p w14:paraId="4BCED6C7" w14:textId="77777777" w:rsidR="00B72815" w:rsidRDefault="00B72815" w:rsidP="00B72815">
      <w:pPr>
        <w:pStyle w:val="BodyText"/>
      </w:pPr>
      <w:bookmarkStart w:id="8" w:name="_Hlk131166248"/>
      <w:r>
        <w:t xml:space="preserve">We envisage a new vocational group — women’s health physicians. Inspired by the development of the breast physician vocational group in the late 1990s and early 2000s in the UK, Australia and Aotearoa New Zealand, a typical women’s health </w:t>
      </w:r>
      <w:r>
        <w:lastRenderedPageBreak/>
        <w:t xml:space="preserve">physician would be a female GP who has undertaken further, more specialised training in a range of women’s health disciplines. Women’s health clinics would employ a range of different practitioners (this may depend on size and demographics of the population it was serving), and as well as the women’s health physician/s include physiotherapists, midwives, nutritionists, acupuncturists and/or pain specialists, </w:t>
      </w:r>
      <w:proofErr w:type="gramStart"/>
      <w:r>
        <w:t>endocrinologists</w:t>
      </w:r>
      <w:proofErr w:type="gramEnd"/>
      <w:r>
        <w:t xml:space="preserve"> or hormonal/menopause specialists, etc. </w:t>
      </w:r>
    </w:p>
    <w:p w14:paraId="00092042" w14:textId="22A9953B" w:rsidR="00B72815" w:rsidRDefault="00B72815" w:rsidP="00B72815">
      <w:pPr>
        <w:pStyle w:val="BodyText"/>
      </w:pPr>
      <w:r>
        <w:t xml:space="preserve">Women’s health clinics would adopt the Five ‘I’s Framework, </w:t>
      </w:r>
      <w:proofErr w:type="gramStart"/>
      <w:r>
        <w:t>an</w:t>
      </w:r>
      <w:proofErr w:type="gramEnd"/>
      <w:r>
        <w:t xml:space="preserve"> holistic and integrated approach to health care with ethics at its heart. </w:t>
      </w:r>
      <w:r>
        <w:t>The Framework is:</w:t>
      </w:r>
    </w:p>
    <w:p w14:paraId="6FB28DA9" w14:textId="77777777" w:rsidR="00B72815" w:rsidRPr="00B72815" w:rsidRDefault="00B72815" w:rsidP="00B72815">
      <w:pPr>
        <w:pStyle w:val="NoParagraphStyle"/>
        <w:suppressAutoHyphens/>
        <w:spacing w:after="28"/>
        <w:rPr>
          <w:rFonts w:ascii="Myriad Pro" w:hAnsi="Myriad Pro" w:cstheme="minorHAnsi"/>
          <w:b/>
          <w:bCs/>
          <w:color w:val="auto"/>
          <w:sz w:val="36"/>
          <w:szCs w:val="36"/>
        </w:rPr>
      </w:pPr>
      <w:r w:rsidRPr="00B72815">
        <w:rPr>
          <w:rFonts w:ascii="Myriad Pro" w:hAnsi="Myriad Pro" w:cstheme="minorHAnsi"/>
          <w:b/>
          <w:bCs/>
          <w:color w:val="auto"/>
          <w:sz w:val="36"/>
          <w:szCs w:val="36"/>
        </w:rPr>
        <w:t>Interdisciplinary</w:t>
      </w:r>
    </w:p>
    <w:p w14:paraId="609A5C1A" w14:textId="78319EE4" w:rsidR="00B72815" w:rsidRPr="00B72815" w:rsidRDefault="00B72815" w:rsidP="00B72815">
      <w:pPr>
        <w:pStyle w:val="NoParagraphStyle"/>
        <w:suppressAutoHyphens/>
        <w:rPr>
          <w:rFonts w:ascii="Myriad Pro" w:hAnsi="Myriad Pro" w:cstheme="minorHAnsi"/>
          <w:color w:val="auto"/>
          <w:sz w:val="36"/>
          <w:szCs w:val="36"/>
        </w:rPr>
      </w:pPr>
      <w:r w:rsidRPr="00B72815">
        <w:rPr>
          <w:rFonts w:ascii="Myriad Pro" w:hAnsi="Myriad Pro" w:cstheme="minorHAnsi"/>
          <w:color w:val="auto"/>
          <w:spacing w:val="7"/>
          <w:sz w:val="36"/>
          <w:szCs w:val="36"/>
        </w:rPr>
        <w:t xml:space="preserve">Medical professionals from a range of </w:t>
      </w:r>
      <w:r w:rsidRPr="00B72815">
        <w:rPr>
          <w:rFonts w:ascii="Myriad Pro" w:hAnsi="Myriad Pro" w:cstheme="minorHAnsi"/>
          <w:color w:val="auto"/>
          <w:sz w:val="36"/>
          <w:szCs w:val="36"/>
        </w:rPr>
        <w:t xml:space="preserve">disciplines working together with the aim of organising and co-ordinating health treatments and care services. Providing an environment that supports co-operation, </w:t>
      </w:r>
      <w:r w:rsidRPr="00B72815">
        <w:rPr>
          <w:rFonts w:ascii="Myriad Pro" w:hAnsi="Myriad Pro" w:cstheme="minorHAnsi"/>
          <w:color w:val="auto"/>
          <w:spacing w:val="7"/>
          <w:sz w:val="36"/>
          <w:szCs w:val="36"/>
        </w:rPr>
        <w:t xml:space="preserve">respect and collaboration between </w:t>
      </w:r>
      <w:r w:rsidRPr="00B72815">
        <w:rPr>
          <w:rFonts w:ascii="Myriad Pro" w:hAnsi="Myriad Pro" w:cstheme="minorHAnsi"/>
          <w:color w:val="auto"/>
          <w:sz w:val="36"/>
          <w:szCs w:val="36"/>
        </w:rPr>
        <w:t xml:space="preserve">colleagues and health practitioners to provide seamless, continuous care. </w:t>
      </w:r>
    </w:p>
    <w:p w14:paraId="1CCC4A88" w14:textId="77777777" w:rsidR="00B72815" w:rsidRPr="00B72815" w:rsidRDefault="00B72815" w:rsidP="00B72815">
      <w:pPr>
        <w:pStyle w:val="NoParagraphStyle"/>
        <w:suppressAutoHyphens/>
        <w:spacing w:before="113" w:after="28"/>
        <w:rPr>
          <w:rFonts w:ascii="Myriad Pro" w:hAnsi="Myriad Pro" w:cstheme="minorHAnsi"/>
          <w:b/>
          <w:bCs/>
          <w:color w:val="auto"/>
          <w:sz w:val="36"/>
          <w:szCs w:val="36"/>
        </w:rPr>
      </w:pPr>
      <w:r w:rsidRPr="00B72815">
        <w:rPr>
          <w:rFonts w:ascii="Myriad Pro" w:hAnsi="Myriad Pro" w:cstheme="minorHAnsi"/>
          <w:b/>
          <w:bCs/>
          <w:color w:val="auto"/>
          <w:sz w:val="36"/>
          <w:szCs w:val="36"/>
        </w:rPr>
        <w:t>Integrated</w:t>
      </w:r>
    </w:p>
    <w:p w14:paraId="64540B43" w14:textId="592C392A" w:rsidR="00B72815" w:rsidRDefault="00B72815" w:rsidP="00B72815">
      <w:pPr>
        <w:pStyle w:val="NoParagraphStyle"/>
        <w:suppressAutoHyphens/>
        <w:rPr>
          <w:rFonts w:ascii="Myriad Pro" w:hAnsi="Myriad Pro" w:cstheme="minorHAnsi"/>
          <w:color w:val="auto"/>
          <w:sz w:val="36"/>
          <w:szCs w:val="36"/>
        </w:rPr>
      </w:pPr>
      <w:r w:rsidRPr="00B72815">
        <w:rPr>
          <w:rFonts w:ascii="Myriad Pro" w:hAnsi="Myriad Pro" w:cstheme="minorHAnsi"/>
          <w:color w:val="auto"/>
          <w:sz w:val="36"/>
          <w:szCs w:val="36"/>
        </w:rPr>
        <w:t xml:space="preserve">A healthcare approach that takes </w:t>
      </w:r>
      <w:r w:rsidRPr="00B72815">
        <w:rPr>
          <w:rFonts w:ascii="Myriad Pro" w:hAnsi="Myriad Pro" w:cstheme="minorHAnsi"/>
          <w:color w:val="auto"/>
          <w:spacing w:val="7"/>
          <w:sz w:val="36"/>
          <w:szCs w:val="36"/>
        </w:rPr>
        <w:t xml:space="preserve">account of the whole person, </w:t>
      </w:r>
      <w:r w:rsidRPr="00B72815">
        <w:rPr>
          <w:rFonts w:ascii="Myriad Pro" w:hAnsi="Myriad Pro" w:cstheme="minorHAnsi"/>
          <w:color w:val="auto"/>
          <w:sz w:val="36"/>
          <w:szCs w:val="36"/>
        </w:rPr>
        <w:t xml:space="preserve">including the social determinants </w:t>
      </w:r>
      <w:r w:rsidRPr="00B72815">
        <w:rPr>
          <w:rFonts w:ascii="Myriad Pro" w:hAnsi="Myriad Pro" w:cstheme="minorHAnsi"/>
          <w:color w:val="auto"/>
          <w:spacing w:val="-2"/>
          <w:sz w:val="36"/>
          <w:szCs w:val="36"/>
        </w:rPr>
        <w:t xml:space="preserve">of health, their past, present </w:t>
      </w:r>
      <w:r w:rsidRPr="00B72815">
        <w:rPr>
          <w:rFonts w:ascii="Myriad Pro" w:hAnsi="Myriad Pro" w:cstheme="minorHAnsi"/>
          <w:color w:val="auto"/>
          <w:spacing w:val="-6"/>
          <w:sz w:val="36"/>
          <w:szCs w:val="36"/>
        </w:rPr>
        <w:t>and future. Holistic practice that considers the interconnectedness</w:t>
      </w:r>
      <w:r w:rsidRPr="00B72815">
        <w:rPr>
          <w:rFonts w:ascii="Myriad Pro" w:hAnsi="Myriad Pro" w:cstheme="minorHAnsi"/>
          <w:color w:val="auto"/>
          <w:spacing w:val="-5"/>
          <w:sz w:val="36"/>
          <w:szCs w:val="36"/>
        </w:rPr>
        <w:t xml:space="preserve"> and interrelationship of the different </w:t>
      </w:r>
      <w:r w:rsidRPr="00B72815">
        <w:rPr>
          <w:rFonts w:ascii="Myriad Pro" w:hAnsi="Myriad Pro" w:cstheme="minorHAnsi"/>
          <w:color w:val="auto"/>
          <w:spacing w:val="-2"/>
          <w:sz w:val="36"/>
          <w:szCs w:val="36"/>
        </w:rPr>
        <w:t xml:space="preserve">parts of the body as well as mental, </w:t>
      </w:r>
      <w:proofErr w:type="gramStart"/>
      <w:r w:rsidRPr="00B72815">
        <w:rPr>
          <w:rFonts w:ascii="Myriad Pro" w:hAnsi="Myriad Pro" w:cstheme="minorHAnsi"/>
          <w:color w:val="auto"/>
          <w:spacing w:val="-5"/>
          <w:sz w:val="36"/>
          <w:szCs w:val="36"/>
        </w:rPr>
        <w:t>spiritual</w:t>
      </w:r>
      <w:proofErr w:type="gramEnd"/>
      <w:r w:rsidRPr="00B72815">
        <w:rPr>
          <w:rFonts w:ascii="Myriad Pro" w:hAnsi="Myriad Pro" w:cstheme="minorHAnsi"/>
          <w:color w:val="auto"/>
          <w:spacing w:val="-5"/>
          <w:sz w:val="36"/>
          <w:szCs w:val="36"/>
        </w:rPr>
        <w:t xml:space="preserve"> and physical wellbeing, while </w:t>
      </w:r>
      <w:r w:rsidRPr="00B72815">
        <w:rPr>
          <w:rFonts w:ascii="Myriad Pro" w:hAnsi="Myriad Pro" w:cstheme="minorHAnsi"/>
          <w:color w:val="auto"/>
          <w:sz w:val="36"/>
          <w:szCs w:val="36"/>
        </w:rPr>
        <w:t xml:space="preserve">utilising all appropriate therapies. </w:t>
      </w:r>
    </w:p>
    <w:p w14:paraId="7AAC931A" w14:textId="77777777" w:rsidR="00B72815" w:rsidRDefault="00B72815" w:rsidP="00B72815">
      <w:pPr>
        <w:pStyle w:val="NoParagraphStyle"/>
        <w:suppressAutoHyphens/>
        <w:rPr>
          <w:rFonts w:ascii="Myriad Pro" w:hAnsi="Myriad Pro" w:cstheme="minorHAnsi"/>
          <w:color w:val="auto"/>
          <w:sz w:val="36"/>
          <w:szCs w:val="36"/>
        </w:rPr>
      </w:pPr>
    </w:p>
    <w:p w14:paraId="593EEEC6" w14:textId="77777777" w:rsidR="00B72815" w:rsidRPr="00B72815" w:rsidRDefault="00B72815" w:rsidP="00B72815">
      <w:pPr>
        <w:pStyle w:val="NoParagraphStyle"/>
        <w:suppressAutoHyphens/>
        <w:rPr>
          <w:rFonts w:ascii="Myriad Pro" w:hAnsi="Myriad Pro" w:cstheme="minorHAnsi"/>
          <w:color w:val="auto"/>
          <w:sz w:val="36"/>
          <w:szCs w:val="36"/>
        </w:rPr>
      </w:pPr>
    </w:p>
    <w:p w14:paraId="0740EA9A" w14:textId="77777777" w:rsidR="00B72815" w:rsidRPr="00B72815" w:rsidRDefault="00B72815" w:rsidP="00B72815">
      <w:pPr>
        <w:pStyle w:val="NoParagraphStyle"/>
        <w:suppressAutoHyphens/>
        <w:spacing w:before="113" w:after="28"/>
        <w:rPr>
          <w:rFonts w:ascii="Myriad Pro" w:hAnsi="Myriad Pro" w:cstheme="minorHAnsi"/>
          <w:b/>
          <w:bCs/>
          <w:color w:val="auto"/>
          <w:sz w:val="36"/>
          <w:szCs w:val="36"/>
        </w:rPr>
      </w:pPr>
      <w:r w:rsidRPr="00B72815">
        <w:rPr>
          <w:rFonts w:ascii="Myriad Pro" w:hAnsi="Myriad Pro" w:cstheme="minorHAnsi"/>
          <w:b/>
          <w:bCs/>
          <w:color w:val="auto"/>
          <w:sz w:val="36"/>
          <w:szCs w:val="36"/>
        </w:rPr>
        <w:lastRenderedPageBreak/>
        <w:t>Interrelated</w:t>
      </w:r>
    </w:p>
    <w:p w14:paraId="6074C094" w14:textId="62D5AD9C" w:rsidR="00B72815" w:rsidRPr="00B72815" w:rsidRDefault="00B72815" w:rsidP="00B72815">
      <w:pPr>
        <w:pStyle w:val="NoParagraphStyle"/>
        <w:suppressAutoHyphens/>
        <w:rPr>
          <w:rFonts w:ascii="Myriad Pro" w:hAnsi="Myriad Pro" w:cstheme="minorHAnsi"/>
          <w:color w:val="auto"/>
          <w:spacing w:val="-5"/>
          <w:sz w:val="36"/>
          <w:szCs w:val="36"/>
        </w:rPr>
      </w:pPr>
      <w:r w:rsidRPr="00B72815">
        <w:rPr>
          <w:rFonts w:ascii="Myriad Pro" w:hAnsi="Myriad Pro" w:cstheme="minorHAnsi"/>
          <w:color w:val="auto"/>
          <w:sz w:val="36"/>
          <w:szCs w:val="36"/>
        </w:rPr>
        <w:t xml:space="preserve">Building and fostering relationships </w:t>
      </w:r>
      <w:r w:rsidRPr="00B72815">
        <w:rPr>
          <w:rFonts w:ascii="Myriad Pro" w:hAnsi="Myriad Pro" w:cstheme="minorHAnsi"/>
          <w:color w:val="auto"/>
          <w:spacing w:val="-5"/>
          <w:sz w:val="36"/>
          <w:szCs w:val="36"/>
        </w:rPr>
        <w:t xml:space="preserve">with team members. Valuing and validating </w:t>
      </w:r>
      <w:r w:rsidRPr="00B72815">
        <w:rPr>
          <w:rFonts w:ascii="Myriad Pro" w:hAnsi="Myriad Pro" w:cstheme="minorHAnsi"/>
          <w:color w:val="auto"/>
          <w:sz w:val="36"/>
          <w:szCs w:val="36"/>
        </w:rPr>
        <w:t xml:space="preserve">personal and individual strengths to achieve desirable patient outcomes, effective </w:t>
      </w:r>
      <w:proofErr w:type="gramStart"/>
      <w:r w:rsidRPr="00B72815">
        <w:rPr>
          <w:rFonts w:ascii="Myriad Pro" w:hAnsi="Myriad Pro" w:cstheme="minorHAnsi"/>
          <w:color w:val="auto"/>
          <w:sz w:val="36"/>
          <w:szCs w:val="36"/>
        </w:rPr>
        <w:t>communication</w:t>
      </w:r>
      <w:proofErr w:type="gramEnd"/>
      <w:r w:rsidRPr="00B72815">
        <w:rPr>
          <w:rFonts w:ascii="Myriad Pro" w:hAnsi="Myriad Pro" w:cstheme="minorHAnsi"/>
          <w:color w:val="auto"/>
          <w:sz w:val="36"/>
          <w:szCs w:val="36"/>
        </w:rPr>
        <w:t xml:space="preserve"> and provision of quality care. Information </w:t>
      </w:r>
      <w:r w:rsidRPr="00B72815">
        <w:rPr>
          <w:rFonts w:ascii="Myriad Pro" w:hAnsi="Myriad Pro" w:cstheme="minorHAnsi"/>
          <w:color w:val="auto"/>
          <w:spacing w:val="-5"/>
          <w:sz w:val="36"/>
          <w:szCs w:val="36"/>
        </w:rPr>
        <w:t>sharing across the team and with consumers/patients.</w:t>
      </w:r>
    </w:p>
    <w:p w14:paraId="7A0CD52A" w14:textId="77777777" w:rsidR="00B72815" w:rsidRPr="00B72815" w:rsidRDefault="00B72815" w:rsidP="00B72815">
      <w:pPr>
        <w:pStyle w:val="NoParagraphStyle"/>
        <w:suppressAutoHyphens/>
        <w:spacing w:before="227" w:after="28"/>
        <w:rPr>
          <w:rFonts w:ascii="Myriad Pro" w:hAnsi="Myriad Pro" w:cstheme="minorHAnsi"/>
          <w:b/>
          <w:bCs/>
          <w:color w:val="auto"/>
          <w:sz w:val="36"/>
          <w:szCs w:val="36"/>
        </w:rPr>
      </w:pPr>
      <w:r w:rsidRPr="00B72815">
        <w:rPr>
          <w:rFonts w:ascii="Myriad Pro" w:hAnsi="Myriad Pro" w:cstheme="minorHAnsi"/>
          <w:b/>
          <w:bCs/>
          <w:color w:val="auto"/>
          <w:sz w:val="36"/>
          <w:szCs w:val="36"/>
        </w:rPr>
        <w:t>Intergenerational</w:t>
      </w:r>
    </w:p>
    <w:p w14:paraId="595A9F92" w14:textId="77777777" w:rsidR="00B72815" w:rsidRPr="00B72815" w:rsidRDefault="00B72815" w:rsidP="00B72815">
      <w:pPr>
        <w:pStyle w:val="NoParagraphStyle"/>
        <w:suppressAutoHyphens/>
        <w:rPr>
          <w:rFonts w:ascii="Myriad Pro" w:hAnsi="Myriad Pro" w:cstheme="minorHAnsi"/>
          <w:color w:val="auto"/>
          <w:sz w:val="36"/>
          <w:szCs w:val="36"/>
        </w:rPr>
      </w:pPr>
      <w:r w:rsidRPr="00B72815">
        <w:rPr>
          <w:rFonts w:ascii="Myriad Pro" w:hAnsi="Myriad Pro" w:cstheme="minorHAnsi"/>
          <w:color w:val="auto"/>
          <w:sz w:val="36"/>
          <w:szCs w:val="36"/>
        </w:rPr>
        <w:t xml:space="preserve">Actively promoting, valuing, </w:t>
      </w:r>
      <w:proofErr w:type="gramStart"/>
      <w:r w:rsidRPr="00B72815">
        <w:rPr>
          <w:rFonts w:ascii="Myriad Pro" w:hAnsi="Myriad Pro" w:cstheme="minorHAnsi"/>
          <w:color w:val="auto"/>
          <w:sz w:val="36"/>
          <w:szCs w:val="36"/>
        </w:rPr>
        <w:t>fostering</w:t>
      </w:r>
      <w:proofErr w:type="gramEnd"/>
      <w:r w:rsidRPr="00B72815">
        <w:rPr>
          <w:rFonts w:ascii="Myriad Pro" w:hAnsi="Myriad Pro" w:cstheme="minorHAnsi"/>
          <w:color w:val="auto"/>
          <w:sz w:val="36"/>
          <w:szCs w:val="36"/>
        </w:rPr>
        <w:t xml:space="preserve"> and encouraging intergenerational communication with patients/consumers and whānau. Understanding the impact of intergenerational trauma, adopting a trauma informed approach to health care.</w:t>
      </w:r>
    </w:p>
    <w:p w14:paraId="04E004B5" w14:textId="77777777" w:rsidR="00B72815" w:rsidRPr="00B72815" w:rsidRDefault="00B72815" w:rsidP="00B72815">
      <w:pPr>
        <w:pStyle w:val="NoParagraphStyle"/>
        <w:suppressAutoHyphens/>
        <w:spacing w:before="227" w:after="28"/>
        <w:rPr>
          <w:rFonts w:ascii="Myriad Pro" w:hAnsi="Myriad Pro" w:cstheme="minorHAnsi"/>
          <w:b/>
          <w:bCs/>
          <w:color w:val="auto"/>
          <w:sz w:val="36"/>
          <w:szCs w:val="36"/>
        </w:rPr>
      </w:pPr>
      <w:r w:rsidRPr="00B72815">
        <w:rPr>
          <w:rFonts w:ascii="Myriad Pro" w:hAnsi="Myriad Pro" w:cstheme="minorHAnsi"/>
          <w:b/>
          <w:bCs/>
          <w:color w:val="auto"/>
          <w:sz w:val="36"/>
          <w:szCs w:val="36"/>
        </w:rPr>
        <w:t>Inclusive</w:t>
      </w:r>
    </w:p>
    <w:p w14:paraId="2121456F" w14:textId="77777777" w:rsidR="00B72815" w:rsidRPr="00B72815" w:rsidRDefault="00B72815" w:rsidP="00B72815">
      <w:pPr>
        <w:pStyle w:val="NoParagraphStyle"/>
        <w:suppressAutoHyphens/>
        <w:rPr>
          <w:rFonts w:ascii="Myriad Pro" w:hAnsi="Myriad Pro" w:cstheme="minorHAnsi"/>
          <w:color w:val="auto"/>
          <w:sz w:val="36"/>
          <w:szCs w:val="36"/>
        </w:rPr>
      </w:pPr>
      <w:r w:rsidRPr="00B72815">
        <w:rPr>
          <w:rFonts w:ascii="Myriad Pro" w:hAnsi="Myriad Pro" w:cstheme="minorHAnsi"/>
          <w:color w:val="auto"/>
          <w:sz w:val="36"/>
          <w:szCs w:val="36"/>
        </w:rPr>
        <w:t xml:space="preserve">Validating identity, </w:t>
      </w:r>
      <w:proofErr w:type="gramStart"/>
      <w:r w:rsidRPr="00B72815">
        <w:rPr>
          <w:rFonts w:ascii="Myriad Pro" w:hAnsi="Myriad Pro" w:cstheme="minorHAnsi"/>
          <w:color w:val="auto"/>
          <w:sz w:val="36"/>
          <w:szCs w:val="36"/>
        </w:rPr>
        <w:t>diversity</w:t>
      </w:r>
      <w:proofErr w:type="gramEnd"/>
      <w:r w:rsidRPr="00B72815">
        <w:rPr>
          <w:rFonts w:ascii="Myriad Pro" w:hAnsi="Myriad Pro" w:cstheme="minorHAnsi"/>
          <w:color w:val="auto"/>
          <w:sz w:val="36"/>
          <w:szCs w:val="36"/>
        </w:rPr>
        <w:t xml:space="preserve"> and culture. </w:t>
      </w:r>
      <w:r w:rsidRPr="00B72815">
        <w:rPr>
          <w:rFonts w:ascii="Myriad Pro" w:hAnsi="Myriad Pro" w:cstheme="minorHAnsi"/>
          <w:color w:val="auto"/>
          <w:spacing w:val="-7"/>
          <w:sz w:val="36"/>
          <w:szCs w:val="36"/>
        </w:rPr>
        <w:t>Being aware of unconscious bias. Ensuring</w:t>
      </w:r>
      <w:r w:rsidRPr="00B72815">
        <w:rPr>
          <w:rFonts w:ascii="Myriad Pro" w:hAnsi="Myriad Pro" w:cstheme="minorHAnsi"/>
          <w:color w:val="auto"/>
          <w:sz w:val="36"/>
          <w:szCs w:val="36"/>
        </w:rPr>
        <w:t xml:space="preserve"> </w:t>
      </w:r>
      <w:r w:rsidRPr="00B72815">
        <w:rPr>
          <w:rFonts w:ascii="Myriad Pro" w:hAnsi="Myriad Pro" w:cstheme="minorHAnsi"/>
          <w:color w:val="auto"/>
          <w:spacing w:val="-2"/>
          <w:sz w:val="36"/>
          <w:szCs w:val="36"/>
        </w:rPr>
        <w:t>accessibility for all to a range of community</w:t>
      </w:r>
      <w:r w:rsidRPr="00B72815">
        <w:rPr>
          <w:rFonts w:ascii="Myriad Pro" w:hAnsi="Myriad Pro" w:cstheme="minorHAnsi"/>
          <w:color w:val="auto"/>
          <w:sz w:val="36"/>
          <w:szCs w:val="36"/>
        </w:rPr>
        <w:t xml:space="preserve"> services that support mental health and wellbeing. Meeting the needs of individual consumers/patients and whānau, providing patient </w:t>
      </w:r>
      <w:proofErr w:type="spellStart"/>
      <w:r w:rsidRPr="00B72815">
        <w:rPr>
          <w:rFonts w:ascii="Myriad Pro" w:hAnsi="Myriad Pro" w:cstheme="minorHAnsi"/>
          <w:color w:val="auto"/>
          <w:sz w:val="36"/>
          <w:szCs w:val="36"/>
        </w:rPr>
        <w:t>centered</w:t>
      </w:r>
      <w:proofErr w:type="spellEnd"/>
      <w:r w:rsidRPr="00B72815">
        <w:rPr>
          <w:rFonts w:ascii="Myriad Pro" w:hAnsi="Myriad Pro" w:cstheme="minorHAnsi"/>
          <w:color w:val="auto"/>
          <w:sz w:val="36"/>
          <w:szCs w:val="36"/>
        </w:rPr>
        <w:t xml:space="preserve"> care. </w:t>
      </w:r>
    </w:p>
    <w:p w14:paraId="59125FB7" w14:textId="79273D85" w:rsidR="00B72815" w:rsidRDefault="00B72815" w:rsidP="00B72815">
      <w:pPr>
        <w:pStyle w:val="BodyText"/>
      </w:pPr>
      <w:r>
        <w:t>The women’s health physician would refer women to specialists as required, and the women’s health clinic might co-ordinate health treatment and care services to ensure an interdisciplinary approach.</w:t>
      </w:r>
    </w:p>
    <w:bookmarkEnd w:id="8"/>
    <w:p w14:paraId="30EEDE00" w14:textId="77777777" w:rsidR="00B72815" w:rsidRDefault="00B72815" w:rsidP="00B72815">
      <w:pPr>
        <w:pStyle w:val="BodyText"/>
      </w:pPr>
      <w:r>
        <w:t>Over the past five years, a diverse range of health advocates have presented more than 40 petitions to parliament, calling for changes or improvements to aspects of women’s health. These advocates often have lived experience of harm.</w:t>
      </w:r>
    </w:p>
    <w:p w14:paraId="133D282A" w14:textId="77777777" w:rsidR="00B72815" w:rsidRDefault="00B72815" w:rsidP="00B72815">
      <w:pPr>
        <w:pStyle w:val="Heading2"/>
      </w:pPr>
      <w:r>
        <w:lastRenderedPageBreak/>
        <w:t>The Interdisciplinary Approach</w:t>
      </w:r>
    </w:p>
    <w:p w14:paraId="2C3A80BE" w14:textId="77777777" w:rsidR="00B72815" w:rsidRDefault="00B72815" w:rsidP="00B72815">
      <w:pPr>
        <w:pStyle w:val="BodyText"/>
      </w:pPr>
      <w:r>
        <w:t>The evidence is clear that “interdisciplinary care”, in which all clinicians work together in a synthesised and harmonised manner, is much better than “multidisciplinary care” in which many clinicians are dealing with their own small bit of the “elephant”.</w:t>
      </w:r>
    </w:p>
    <w:p w14:paraId="5B69B650" w14:textId="77777777" w:rsidR="00B72815" w:rsidRDefault="00B72815" w:rsidP="00B72815">
      <w:pPr>
        <w:pStyle w:val="BodyText"/>
      </w:pPr>
      <w:r>
        <w:t xml:space="preserve">Many women present with complex health needs, sometimes with both systemic and localised symptoms. They are often pushed from one practitioner or specialist to another, repeatedly having to tell their ‘story’ and finding no answers and no resolution to the health conditions that can dramatically reduce their quality of life. </w:t>
      </w:r>
    </w:p>
    <w:p w14:paraId="01840B3C" w14:textId="77777777" w:rsidR="00B72815" w:rsidRDefault="00B72815" w:rsidP="00B72815">
      <w:pPr>
        <w:pStyle w:val="BodyText"/>
      </w:pPr>
      <w:r>
        <w:t>An interdisciplinary approach, in which health professionals work together to organise and co-ordinate health treatments and care services, offers women with complex needs faster diagnosis and treatment, better outcomes and significantly improved quality of life.</w:t>
      </w:r>
    </w:p>
    <w:p w14:paraId="69FA4789" w14:textId="4A257AB2" w:rsidR="00B72815" w:rsidRPr="00B72815" w:rsidRDefault="00B72815" w:rsidP="003240F1">
      <w:pPr>
        <w:pStyle w:val="BodyText"/>
        <w:rPr>
          <w:b/>
          <w:bCs/>
        </w:rPr>
      </w:pPr>
      <w:r w:rsidRPr="00B72815">
        <w:rPr>
          <w:b/>
          <w:bCs/>
        </w:rPr>
        <w:t>The Consumer Advocacy Alliance</w:t>
      </w:r>
    </w:p>
    <w:p w14:paraId="0A3F8546" w14:textId="229FDD52" w:rsidR="00B72815" w:rsidRPr="00FB5DED" w:rsidRDefault="00B72815" w:rsidP="003240F1">
      <w:pPr>
        <w:pStyle w:val="BodyText"/>
      </w:pPr>
      <w:r w:rsidRPr="00FB5DED">
        <w:t xml:space="preserve">The </w:t>
      </w:r>
      <w:hyperlink r:id="rId17" w:history="1">
        <w:r w:rsidRPr="00CB10B8">
          <w:rPr>
            <w:rStyle w:val="Hyperlink"/>
          </w:rPr>
          <w:t>Consumer Advocacy Alliance</w:t>
        </w:r>
      </w:hyperlink>
      <w:r w:rsidRPr="00FB5DED">
        <w:t xml:space="preserve"> is an independent consumer alliance that ensures scrutiny of the health system at all levels </w:t>
      </w:r>
      <w:r>
        <w:t>—</w:t>
      </w:r>
      <w:r w:rsidRPr="00FB5DED">
        <w:t xml:space="preserve"> including all government, public and private health entities </w:t>
      </w:r>
      <w:r>
        <w:t>—</w:t>
      </w:r>
      <w:r w:rsidRPr="00FB5DED">
        <w:t xml:space="preserve"> for the benefit of all New Zealanders, to protect people from harm and to ensure quality consumer-focused health care and services.</w:t>
      </w:r>
    </w:p>
    <w:p w14:paraId="41E87864" w14:textId="77777777" w:rsidR="00B72815" w:rsidRPr="00FB5DED" w:rsidRDefault="00B72815" w:rsidP="003240F1">
      <w:pPr>
        <w:pStyle w:val="BodyText"/>
      </w:pPr>
      <w:r w:rsidRPr="00FB5DED">
        <w:t>Being independent allows us to be intentionally consumer-focused; independence enables us to evaluate health issues objectively and work constructively with the sector to find solutions</w:t>
      </w:r>
      <w:r>
        <w:t>.</w:t>
      </w:r>
    </w:p>
    <w:p w14:paraId="0E5F6361" w14:textId="77777777" w:rsidR="00B72815" w:rsidRDefault="00B72815" w:rsidP="003240F1">
      <w:pPr>
        <w:pStyle w:val="BodyText"/>
        <w:spacing w:before="480"/>
      </w:pPr>
      <w:r>
        <w:lastRenderedPageBreak/>
        <w:t>We are</w:t>
      </w:r>
      <w:r w:rsidRPr="00FB5DED">
        <w:t xml:space="preserve"> a collective of experienced health care advocates who share a common passion for creating positive, </w:t>
      </w:r>
      <w:proofErr w:type="gramStart"/>
      <w:r w:rsidRPr="00FB5DED">
        <w:t>effective</w:t>
      </w:r>
      <w:proofErr w:type="gramEnd"/>
      <w:r w:rsidRPr="00FB5DED">
        <w:t xml:space="preserve"> and lasting change. Our founders have a common standpoint; that health care</w:t>
      </w:r>
      <w:r>
        <w:t>,</w:t>
      </w:r>
      <w:r w:rsidRPr="00FB5DED">
        <w:t xml:space="preserve"> as it is now</w:t>
      </w:r>
      <w:r>
        <w:t>,</w:t>
      </w:r>
      <w:r w:rsidRPr="00FB5DED">
        <w:t xml:space="preserve"> is not working</w:t>
      </w:r>
      <w:r>
        <w:t>;</w:t>
      </w:r>
      <w:r w:rsidRPr="00FB5DED">
        <w:t xml:space="preserve"> that the experience of New Zealanders in the health system is not what it should be. By working together and pooling our experience we identify areas and opportunities where we can facilitate change within the health</w:t>
      </w:r>
      <w:r>
        <w:t xml:space="preserve"> </w:t>
      </w:r>
      <w:r w:rsidRPr="00FB5DED">
        <w:t>system and ensure that our voice, the consumer voice, is heard.</w:t>
      </w:r>
    </w:p>
    <w:p w14:paraId="7C744BEA" w14:textId="77777777" w:rsidR="00B72815" w:rsidRPr="00FB5DED" w:rsidRDefault="00B72815" w:rsidP="00B72815">
      <w:pPr>
        <w:pStyle w:val="BodyText"/>
        <w:ind w:left="1418" w:hanging="1418"/>
        <w:rPr>
          <w:rStyle w:val="BodyTextChar"/>
          <w:b/>
          <w:bCs/>
        </w:rPr>
      </w:pPr>
      <w:r w:rsidRPr="00FB5DED">
        <w:t>Vision</w:t>
      </w:r>
      <w:r>
        <w:tab/>
      </w:r>
      <w:r w:rsidRPr="00FB5DED">
        <w:rPr>
          <w:rStyle w:val="BodyTextChar"/>
          <w:bCs/>
        </w:rPr>
        <w:t>A people-centred health system in which health consumers/patients work in true partnership with health care providers for health and well-being, and in which health consumer/patient rights and safety are paramount.</w:t>
      </w:r>
    </w:p>
    <w:p w14:paraId="14913B62" w14:textId="77777777" w:rsidR="00B72815" w:rsidRDefault="00B72815" w:rsidP="00B72815">
      <w:pPr>
        <w:pStyle w:val="BodyText"/>
        <w:ind w:left="1418" w:hanging="1418"/>
      </w:pPr>
      <w:r>
        <w:t>Goal</w:t>
      </w:r>
      <w:r>
        <w:tab/>
      </w:r>
      <w:r w:rsidRPr="00CB10B8">
        <w:t xml:space="preserve">To contribute to creating a patient-centred health system that encourages transparency and shared decision making; to ensure that the consumer voice is not only heard but that co-design with lived experience consumers is at the heart of all legislation/regulation, policy, development, design, implementation, </w:t>
      </w:r>
      <w:proofErr w:type="gramStart"/>
      <w:r w:rsidRPr="00CB10B8">
        <w:t>research</w:t>
      </w:r>
      <w:proofErr w:type="gramEnd"/>
      <w:r w:rsidRPr="00CB10B8">
        <w:t xml:space="preserve"> and service provision within the health system.</w:t>
      </w:r>
    </w:p>
    <w:p w14:paraId="7E80189D" w14:textId="77777777" w:rsidR="00B72815" w:rsidRDefault="00B72815" w:rsidP="00B72815">
      <w:pPr>
        <w:pStyle w:val="BodyText"/>
      </w:pPr>
    </w:p>
    <w:p w14:paraId="0CDC5EAD" w14:textId="77777777" w:rsidR="00B72815" w:rsidRDefault="00B72815" w:rsidP="00B72815">
      <w:pPr>
        <w:pStyle w:val="Heading1"/>
      </w:pPr>
      <w:r>
        <w:br w:type="page"/>
      </w:r>
    </w:p>
    <w:p w14:paraId="5A151253" w14:textId="7444C23C" w:rsidR="00B72815" w:rsidRDefault="00B72815" w:rsidP="00B72815">
      <w:pPr>
        <w:pStyle w:val="Heading1"/>
      </w:pPr>
      <w:r>
        <w:lastRenderedPageBreak/>
        <w:t xml:space="preserve">Lifelong Health Impacts of Childhood Poverty </w:t>
      </w:r>
    </w:p>
    <w:p w14:paraId="756CF22F" w14:textId="77777777" w:rsidR="00B72815" w:rsidRPr="00B72815" w:rsidRDefault="00B72815" w:rsidP="00B72815">
      <w:pPr>
        <w:pStyle w:val="Byline0"/>
        <w:rPr>
          <w:sz w:val="36"/>
          <w:szCs w:val="36"/>
        </w:rPr>
      </w:pPr>
      <w:r w:rsidRPr="00B72815">
        <w:rPr>
          <w:sz w:val="36"/>
          <w:szCs w:val="36"/>
        </w:rPr>
        <w:t>By Sue Claridge</w:t>
      </w:r>
    </w:p>
    <w:p w14:paraId="6F93F4D3" w14:textId="7D28D575" w:rsidR="00B72815" w:rsidRDefault="00B72815" w:rsidP="00B72815">
      <w:pPr>
        <w:pStyle w:val="BodyText"/>
      </w:pPr>
      <w:r>
        <w:t xml:space="preserve">In our women’s health strategy submission, we wrote of the need to focus on achieving and maintaining health, not just treating ill-health. While women in Aotearoa New Zealand live longer on average than men, they live more of their life with disability or poor health. In 2013, wāhine/women had a life expectancy of 83.2 years, yet their health expectancy was only 65.2 years, meaning that on average they spend 18 years in poor health! </w:t>
      </w:r>
    </w:p>
    <w:p w14:paraId="1A243751" w14:textId="77777777" w:rsidR="00B72815" w:rsidRDefault="00B72815" w:rsidP="00B72815">
      <w:pPr>
        <w:pStyle w:val="BodyText"/>
      </w:pPr>
      <w:r>
        <w:t>Addressing health and well-being – or the lack of – in women/wāhine is not just about having a well-resourced, highly functional health system that delivers best practice, evidence-based medicine. To attain health, well-being and healthy longevity necessitates addressing social and commercial determinants of health and focusing on prevention of disease, particularly non-communicable and degenerative diseases, which significantly take away from productive healthy lives and contribute to disability-adjusted life years.</w:t>
      </w:r>
    </w:p>
    <w:p w14:paraId="7A6AF138" w14:textId="2291D5B4" w:rsidR="00B72815" w:rsidRDefault="00B72815" w:rsidP="00B72815">
      <w:pPr>
        <w:pStyle w:val="BodyText"/>
      </w:pPr>
      <w:r>
        <w:t xml:space="preserve">The </w:t>
      </w:r>
      <w:r w:rsidRPr="00E90878">
        <w:rPr>
          <w:i/>
          <w:iCs/>
        </w:rPr>
        <w:t xml:space="preserve">Health and Disability System Review – Final Report – </w:t>
      </w:r>
      <w:proofErr w:type="spellStart"/>
      <w:r w:rsidRPr="00E90878">
        <w:rPr>
          <w:i/>
          <w:iCs/>
        </w:rPr>
        <w:t>Pūrongo</w:t>
      </w:r>
      <w:proofErr w:type="spellEnd"/>
      <w:r w:rsidRPr="00E90878">
        <w:rPr>
          <w:i/>
          <w:iCs/>
        </w:rPr>
        <w:t xml:space="preserve"> </w:t>
      </w:r>
      <w:proofErr w:type="spellStart"/>
      <w:r w:rsidRPr="00E90878">
        <w:rPr>
          <w:i/>
          <w:iCs/>
        </w:rPr>
        <w:t>Whakamutunga</w:t>
      </w:r>
      <w:proofErr w:type="spellEnd"/>
      <w:r>
        <w:t xml:space="preserve"> concluded that “The health and disability system is not the main factor in determining health outcomes. If New Zealand does not significantly reduce intergenerational poverty and act on the social determinants of health, little that happens in the health and disability system would have a lasting impact.” </w:t>
      </w:r>
    </w:p>
    <w:p w14:paraId="73B4E687" w14:textId="77777777" w:rsidR="00B72815" w:rsidRPr="0038321D" w:rsidRDefault="00B72815" w:rsidP="00B72815">
      <w:pPr>
        <w:pStyle w:val="BodyText"/>
      </w:pPr>
      <w:r w:rsidRPr="0038321D">
        <w:lastRenderedPageBreak/>
        <w:t xml:space="preserve">It is imperative that the social and commercial determinants of health are given a high priority in the women’s health strategy. Gender is a social determinant of health, and there is a complex interplay between gender and other factors, such as income and poverty; education; occupation; housing; tobacco, </w:t>
      </w:r>
      <w:proofErr w:type="gramStart"/>
      <w:r w:rsidRPr="0038321D">
        <w:t>alcohol</w:t>
      </w:r>
      <w:proofErr w:type="gramEnd"/>
      <w:r w:rsidRPr="0038321D">
        <w:t xml:space="preserve"> and drug use; and domestic violence.</w:t>
      </w:r>
    </w:p>
    <w:p w14:paraId="7DFCCC8A" w14:textId="77777777" w:rsidR="00B72815" w:rsidRPr="0038321D" w:rsidRDefault="00B72815" w:rsidP="00B72815">
      <w:pPr>
        <w:pStyle w:val="BodyText"/>
      </w:pPr>
      <w:r w:rsidRPr="0038321D">
        <w:t xml:space="preserve">While many of the social determinants of health lie outside of the health system – income and poverty; education; occupation; housing and homelessness; tobacco, </w:t>
      </w:r>
      <w:proofErr w:type="gramStart"/>
      <w:r w:rsidRPr="0038321D">
        <w:t>alcohol</w:t>
      </w:r>
      <w:proofErr w:type="gramEnd"/>
      <w:r w:rsidRPr="0038321D">
        <w:t xml:space="preserve"> and drug use; and domestic violence – health policy, including the women’s health strategy, must take account of these and the myriad other factors that influence a woman’s health.</w:t>
      </w:r>
    </w:p>
    <w:p w14:paraId="663FC1F1" w14:textId="77777777" w:rsidR="00B72815" w:rsidRDefault="00B72815" w:rsidP="00B72815">
      <w:pPr>
        <w:pStyle w:val="BodyText"/>
      </w:pPr>
      <w:r>
        <w:t xml:space="preserve">In our submission, we chose to focus on one factor: poverty... specifically poverty in childhood. Poverty and material hardship has been a major policy focus of the current Labour Government However, the Covid pandemic, recent weather events and the cost-of-living crisis have only served to place more pressure on families living with the highest levels of deprivation in Aotearoa New Zealand.  </w:t>
      </w:r>
    </w:p>
    <w:p w14:paraId="37002579" w14:textId="77777777" w:rsidR="00B72815" w:rsidRPr="00D741EF" w:rsidRDefault="00B72815" w:rsidP="00B72815">
      <w:pPr>
        <w:pStyle w:val="BodyText"/>
      </w:pPr>
      <w:r>
        <w:t>Despite Government commitments to reducing the number of children living in poverty in this country, not only has there been no improvement, but it has gotten worse.</w:t>
      </w:r>
    </w:p>
    <w:p w14:paraId="1BAA7484" w14:textId="73AEB94E" w:rsidR="00B72815" w:rsidRDefault="00B72815" w:rsidP="00B72815">
      <w:pPr>
        <w:pStyle w:val="BodyText"/>
        <w:spacing w:after="0" w:afterAutospacing="0"/>
      </w:pPr>
      <w:bookmarkStart w:id="9" w:name="social_determinants"/>
      <w:bookmarkEnd w:id="9"/>
      <w:r>
        <w:t xml:space="preserve">In 2019, </w:t>
      </w:r>
      <w:r>
        <w:rPr>
          <w:rStyle w:val="markedcontent"/>
          <w:rFonts w:eastAsiaTheme="majorEastAsia"/>
        </w:rPr>
        <w:t>235,400 children</w:t>
      </w:r>
      <w:r>
        <w:t xml:space="preserve"> (21.0%) lived in a low-income household. In addition, in 2018/2019:</w:t>
      </w:r>
    </w:p>
    <w:p w14:paraId="7544B275" w14:textId="77777777" w:rsidR="00B72815" w:rsidRDefault="00B72815" w:rsidP="00B72815">
      <w:pPr>
        <w:pStyle w:val="BodyText"/>
        <w:numPr>
          <w:ilvl w:val="0"/>
          <w:numId w:val="63"/>
        </w:numPr>
      </w:pPr>
      <w:r>
        <w:t xml:space="preserve">children living in the most disadvantaged communities were more than twice as likely to end up in hospital as those from the most advantaged </w:t>
      </w:r>
      <w:proofErr w:type="gramStart"/>
      <w:r>
        <w:t>communities;</w:t>
      </w:r>
      <w:proofErr w:type="gramEnd"/>
    </w:p>
    <w:p w14:paraId="677F2FC8" w14:textId="77777777" w:rsidR="00B72815" w:rsidRDefault="00B72815" w:rsidP="00B72815">
      <w:pPr>
        <w:pStyle w:val="BodyText"/>
        <w:numPr>
          <w:ilvl w:val="0"/>
          <w:numId w:val="63"/>
        </w:numPr>
      </w:pPr>
      <w:r>
        <w:lastRenderedPageBreak/>
        <w:t xml:space="preserve">one in five children lived in households without access to enough food or healthy food; </w:t>
      </w:r>
      <w:r w:rsidRPr="00B72815">
        <w:t>severe-to-moderate food insecurity was experienced in 42.8% of households with children with income at or below $50,000 per annum</w:t>
      </w:r>
      <w:r>
        <w:t>.</w:t>
      </w:r>
      <w:bookmarkStart w:id="10" w:name="_Ref130374741"/>
      <w:r>
        <w:t xml:space="preserve"> </w:t>
      </w:r>
    </w:p>
    <w:p w14:paraId="15590079" w14:textId="77777777" w:rsidR="00B72815" w:rsidRPr="00B72815" w:rsidRDefault="00B72815" w:rsidP="00B72815">
      <w:pPr>
        <w:pStyle w:val="BodyText"/>
        <w:numPr>
          <w:ilvl w:val="0"/>
          <w:numId w:val="63"/>
        </w:numPr>
      </w:pPr>
      <w:r w:rsidRPr="00B72815">
        <w:t xml:space="preserve">282,228 children lived in damp housing and 237,543 in housing with </w:t>
      </w:r>
      <w:proofErr w:type="gramStart"/>
      <w:r w:rsidRPr="00B72815">
        <w:t>mould;</w:t>
      </w:r>
      <w:proofErr w:type="gramEnd"/>
    </w:p>
    <w:p w14:paraId="1273DC41" w14:textId="77777777" w:rsidR="00B72815" w:rsidRDefault="00B72815" w:rsidP="00B72815">
      <w:pPr>
        <w:pStyle w:val="BodyText"/>
        <w:numPr>
          <w:ilvl w:val="0"/>
          <w:numId w:val="63"/>
        </w:numPr>
      </w:pPr>
      <w:r w:rsidRPr="00B72815">
        <w:t xml:space="preserve">77,976 </w:t>
      </w:r>
      <w:proofErr w:type="gramStart"/>
      <w:r w:rsidRPr="00B72815">
        <w:t>under-18 year olds</w:t>
      </w:r>
      <w:proofErr w:type="gramEnd"/>
      <w:r w:rsidRPr="00B72815">
        <w:t xml:space="preserve"> lived in homes without access to one or more basic household amenities such as safe tap water, cooking and washing up facilities, a bath or shower, a toilet, a refrigerator or a supply of electricity.</w:t>
      </w:r>
      <w:bookmarkEnd w:id="10"/>
    </w:p>
    <w:p w14:paraId="01D5693B" w14:textId="1F0A92CE" w:rsidR="00B72815" w:rsidRDefault="00B72815" w:rsidP="00B72815">
      <w:pPr>
        <w:pStyle w:val="BodyText"/>
      </w:pPr>
      <w:r w:rsidRPr="00775CBB">
        <w:t xml:space="preserve">A 2021 report found that none </w:t>
      </w:r>
      <w:r w:rsidRPr="00775CBB">
        <w:rPr>
          <w:rStyle w:val="markedcontent"/>
          <w:rFonts w:eastAsiaTheme="majorEastAsia"/>
        </w:rPr>
        <w:t>of the Government-convened Welfare Expert Advisory Group’s</w:t>
      </w:r>
      <w:r>
        <w:rPr>
          <w:rStyle w:val="markedcontent"/>
          <w:rFonts w:eastAsiaTheme="majorEastAsia"/>
        </w:rPr>
        <w:t xml:space="preserve"> (WEAG)</w:t>
      </w:r>
      <w:r w:rsidRPr="00775CBB">
        <w:rPr>
          <w:rStyle w:val="markedcontent"/>
          <w:rFonts w:eastAsiaTheme="majorEastAsia"/>
        </w:rPr>
        <w:t xml:space="preserve"> 42 key recommendations on a programme of ‘overhaul’ for the welfare system ha</w:t>
      </w:r>
      <w:r>
        <w:rPr>
          <w:rStyle w:val="markedcontent"/>
          <w:rFonts w:eastAsiaTheme="majorEastAsia"/>
        </w:rPr>
        <w:t>d</w:t>
      </w:r>
      <w:r w:rsidRPr="00775CBB">
        <w:rPr>
          <w:rStyle w:val="markedcontent"/>
          <w:rFonts w:eastAsiaTheme="majorEastAsia"/>
        </w:rPr>
        <w:t xml:space="preserve"> been fully implemented. The report</w:t>
      </w:r>
      <w:r>
        <w:rPr>
          <w:rStyle w:val="markedcontent"/>
          <w:rFonts w:eastAsiaTheme="majorEastAsia"/>
        </w:rPr>
        <w:t>’</w:t>
      </w:r>
      <w:r w:rsidRPr="00775CBB">
        <w:rPr>
          <w:rStyle w:val="markedcontent"/>
          <w:rFonts w:eastAsiaTheme="majorEastAsia"/>
        </w:rPr>
        <w:t>s authors say that “</w:t>
      </w:r>
      <w:r w:rsidRPr="00775CBB">
        <w:t>The number of children living in benefit-receiving households has risen by over 15% in the last two years to 208,000 children, roughly one in every five in Aotearoa. Yet the social security system still provides inadequate income and other support for these families, who are among the most likely to live in entrenched poverty.”</w:t>
      </w:r>
      <w:r>
        <w:t xml:space="preserve"> </w:t>
      </w:r>
    </w:p>
    <w:p w14:paraId="7332B813" w14:textId="1107E8B0" w:rsidR="00B72815" w:rsidRPr="00CC00C3" w:rsidRDefault="00B72815" w:rsidP="00B72815">
      <w:pPr>
        <w:pStyle w:val="BodyText"/>
      </w:pPr>
      <w:r w:rsidRPr="00CC00C3">
        <w:t>The report goes on to express concern that “it could take decades to implement welfare reform as envisioned by WEAG”</w:t>
      </w:r>
      <w:r w:rsidRPr="00F16C3B">
        <w:rPr>
          <w:vertAlign w:val="superscript"/>
        </w:rPr>
        <w:fldChar w:fldCharType="begin"/>
      </w:r>
      <w:r w:rsidRPr="00F16C3B">
        <w:rPr>
          <w:vertAlign w:val="superscript"/>
        </w:rPr>
        <w:instrText xml:space="preserve"> NOTEREF _Ref89855144 \h </w:instrText>
      </w:r>
      <w:r>
        <w:rPr>
          <w:vertAlign w:val="superscript"/>
        </w:rPr>
        <w:instrText xml:space="preserve"> \* MERGEFORMAT </w:instrText>
      </w:r>
      <w:r w:rsidRPr="00F16C3B">
        <w:rPr>
          <w:vertAlign w:val="superscript"/>
        </w:rPr>
      </w:r>
      <w:r w:rsidRPr="00F16C3B">
        <w:rPr>
          <w:vertAlign w:val="superscript"/>
        </w:rPr>
        <w:fldChar w:fldCharType="separate"/>
      </w:r>
      <w:r>
        <w:rPr>
          <w:vertAlign w:val="superscript"/>
        </w:rPr>
        <w:t>20</w:t>
      </w:r>
      <w:r w:rsidRPr="00F16C3B">
        <w:rPr>
          <w:vertAlign w:val="superscript"/>
        </w:rPr>
        <w:fldChar w:fldCharType="end"/>
      </w:r>
      <w:r w:rsidRPr="00CC00C3">
        <w:t xml:space="preserve">, thus ensuring that the children who currently live in poverty may be consigned to lifetime of health inequity and poor health outcomes. </w:t>
      </w:r>
      <w:r w:rsidRPr="000B50B3">
        <w:t xml:space="preserve">As </w:t>
      </w:r>
      <w:r>
        <w:t>I</w:t>
      </w:r>
      <w:r w:rsidRPr="000B50B3">
        <w:t xml:space="preserve"> write, it </w:t>
      </w:r>
      <w:r>
        <w:t>has been</w:t>
      </w:r>
      <w:r w:rsidRPr="000B50B3">
        <w:t xml:space="preserve"> revealed that scant progress ha</w:t>
      </w:r>
      <w:r>
        <w:t>s</w:t>
      </w:r>
      <w:r w:rsidRPr="000B50B3">
        <w:t xml:space="preserve"> been made in reducing child poverty in the four years </w:t>
      </w:r>
      <w:r>
        <w:t>since this country</w:t>
      </w:r>
      <w:r w:rsidRPr="000B50B3">
        <w:t xml:space="preserve"> began measuring and reporting on material hardship</w:t>
      </w:r>
      <w:r>
        <w:t xml:space="preserve">. After a </w:t>
      </w:r>
      <w:r w:rsidRPr="000B50B3">
        <w:t xml:space="preserve">2.3 per cent decline in material hardship between 2018-21, no further gains were made </w:t>
      </w:r>
      <w:r>
        <w:t>in 2022</w:t>
      </w:r>
      <w:r w:rsidRPr="000B50B3">
        <w:t xml:space="preserve">. </w:t>
      </w:r>
      <w:r>
        <w:t>T</w:t>
      </w:r>
      <w:r w:rsidRPr="000B50B3">
        <w:t>he newly released figures only go to June 2022</w:t>
      </w:r>
      <w:r>
        <w:t>,</w:t>
      </w:r>
      <w:r w:rsidRPr="000B50B3">
        <w:t xml:space="preserve"> before the </w:t>
      </w:r>
      <w:r>
        <w:lastRenderedPageBreak/>
        <w:t xml:space="preserve">advent of the </w:t>
      </w:r>
      <w:r w:rsidRPr="000B50B3">
        <w:t>current cost of living crisis</w:t>
      </w:r>
      <w:r>
        <w:t xml:space="preserve">; next year’s figures </w:t>
      </w:r>
      <w:r w:rsidRPr="000B50B3">
        <w:t>may tell a more devastating story</w:t>
      </w:r>
      <w:r>
        <w:t>.</w:t>
      </w:r>
    </w:p>
    <w:p w14:paraId="7BCCA138" w14:textId="77766B72" w:rsidR="00B72815" w:rsidRDefault="00B72815" w:rsidP="00B72815">
      <w:pPr>
        <w:pStyle w:val="BodyText"/>
      </w:pPr>
      <w:r>
        <w:t>One out of every five girls in Aotearoa New Zealand live their lives in poverty, and the impact that this will have on the health of those girls later in life cannot be underestimated. A recent study of 10,784 adults in the US found that “severe indicators of childhood poverty are associated with general and chronic health problems as well as adult depression.”</w:t>
      </w:r>
    </w:p>
    <w:p w14:paraId="7451DCE6" w14:textId="1504E782" w:rsidR="00B72815" w:rsidRDefault="00B72815" w:rsidP="00B72815">
      <w:pPr>
        <w:pStyle w:val="BodyText"/>
      </w:pPr>
      <w:r>
        <w:t>Data from the Dunedin Multidisciplinary Health and Development Study found that, compared with those from high socioeconomic status backgrounds, children who grew up in low socioeconomic status families had poorer health at the age of 26 across all health measures (except systolic blood pressure), irrespective of health in infancy or adult socioeconomic status. The study concluded that subsequent higher socioeconomic status “did not mitigate or reverse the adverse effects of low childhood socioeconomic status on adult health.”</w:t>
      </w:r>
    </w:p>
    <w:p w14:paraId="039451A1" w14:textId="783219B3" w:rsidR="00B72815" w:rsidRDefault="00B72815" w:rsidP="00B72815">
      <w:pPr>
        <w:pStyle w:val="BodyText"/>
      </w:pPr>
      <w:r>
        <w:t>A subsequent analysis of data from the Dunedin Study, that followed the cohort to the age 32, confirmed that “</w:t>
      </w:r>
      <w:r w:rsidRPr="00984D06">
        <w:t xml:space="preserve">low childhood </w:t>
      </w:r>
      <w:r>
        <w:t>[socioeconomic status]</w:t>
      </w:r>
      <w:r w:rsidRPr="00984D06">
        <w:t xml:space="preserve"> was associated with an increased risk of substance dependence and poor physical health in adulthood</w:t>
      </w:r>
      <w:r>
        <w:t xml:space="preserve">.” The authors found that adults who had “experienced childhood disadvantage were especially likely to experience multiple health problems by the time they reached adulthood” compared with those from high childhood socioeconomic status group. </w:t>
      </w:r>
    </w:p>
    <w:p w14:paraId="6C0C3A85" w14:textId="3510E010" w:rsidR="00B72815" w:rsidRDefault="00B72815" w:rsidP="00B72815">
      <w:pPr>
        <w:pStyle w:val="BodyText"/>
      </w:pPr>
      <w:r>
        <w:t xml:space="preserve">This study also found that there was an intergenerational impact on health: low socioeconomic status </w:t>
      </w:r>
      <w:r w:rsidRPr="0009739B">
        <w:rPr>
          <w:spacing w:val="-2"/>
        </w:rPr>
        <w:t xml:space="preserve">children were more </w:t>
      </w:r>
      <w:r w:rsidRPr="0009739B">
        <w:rPr>
          <w:spacing w:val="-2"/>
        </w:rPr>
        <w:lastRenderedPageBreak/>
        <w:t xml:space="preserve">likely than high socioeconomic status children to carry a familial </w:t>
      </w:r>
      <w:r>
        <w:rPr>
          <w:spacing w:val="-2"/>
        </w:rPr>
        <w:t>predisposition</w:t>
      </w:r>
      <w:r w:rsidRPr="0009739B">
        <w:rPr>
          <w:spacing w:val="-2"/>
        </w:rPr>
        <w:t xml:space="preserve"> to poor health</w:t>
      </w:r>
      <w:r>
        <w:t xml:space="preserve">. </w:t>
      </w:r>
    </w:p>
    <w:p w14:paraId="2C2DE087" w14:textId="369F8A6F" w:rsidR="00B72815" w:rsidRPr="004E4574" w:rsidRDefault="00B72815" w:rsidP="00B72815">
      <w:pPr>
        <w:pStyle w:val="BodyText"/>
      </w:pPr>
      <w:r>
        <w:t xml:space="preserve">Canadian studies confirmed the Dunedin Study results. Raphael found that “children who live in poverty are more likely as adults than their peers to develop and die earlier from a range of diseases. These effects are especially strong for cardiovascular disease and type II diabetes.” Subsequent improved life circumstances </w:t>
      </w:r>
      <w:r w:rsidRPr="004E4574">
        <w:t xml:space="preserve">only had a modest ameliorative effect. </w:t>
      </w:r>
    </w:p>
    <w:p w14:paraId="770B5735" w14:textId="63709F5A" w:rsidR="00B72815" w:rsidRDefault="00B72815" w:rsidP="00B72815">
      <w:pPr>
        <w:pStyle w:val="BodyText"/>
      </w:pPr>
      <w:r w:rsidRPr="004E4574">
        <w:t>Rita Paul-Sen Gupta and colleagues from Toronto Public Health found that “in addition to experiencing higher rates of adult mortality between the ages of 26 and 54, children from economically disadvantaged backgrounds have poorer adult health in a number of areas, including physical disability, clinical depression and premature death.”</w:t>
      </w:r>
    </w:p>
    <w:p w14:paraId="091D86FD" w14:textId="729E1BDB" w:rsidR="00B72815" w:rsidRPr="00345CB6" w:rsidRDefault="00B72815" w:rsidP="00B72815">
      <w:pPr>
        <w:pStyle w:val="BodyText"/>
        <w:rPr>
          <w:rStyle w:val="markedcontent"/>
        </w:rPr>
      </w:pPr>
      <w:r w:rsidRPr="00345CB6">
        <w:t xml:space="preserve">There appears to be little research that focuses specifically on the impacts of childhood poverty on women’s health. However, </w:t>
      </w:r>
      <w:r w:rsidRPr="00345CB6">
        <w:rPr>
          <w:rStyle w:val="markedcontent"/>
        </w:rPr>
        <w:t xml:space="preserve">women experience higher levels of intergenerational poverty. </w:t>
      </w:r>
      <w:r>
        <w:rPr>
          <w:rStyle w:val="markedcontent"/>
        </w:rPr>
        <w:t xml:space="preserve">There appears to be a complex interplay between childhood poverty, adult health and intergenerational poverty leading to poorer health outcomes in subsequent generations of children. </w:t>
      </w:r>
    </w:p>
    <w:p w14:paraId="4CD05FC4" w14:textId="77777777" w:rsidR="00B72815" w:rsidRDefault="00B72815" w:rsidP="00B72815">
      <w:pPr>
        <w:pStyle w:val="BodyText"/>
        <w:spacing w:after="360"/>
      </w:pPr>
      <w:r>
        <w:t xml:space="preserve">For the health of our wāhine/women and their children, we must address poverty in </w:t>
      </w:r>
      <w:proofErr w:type="spellStart"/>
      <w:r>
        <w:t>Aoteroa</w:t>
      </w:r>
      <w:proofErr w:type="spellEnd"/>
      <w:r>
        <w:t xml:space="preserve"> New Zealand. This means addressing the financial barriers to health, not just the barriers to accessing health care. </w:t>
      </w:r>
    </w:p>
    <w:p w14:paraId="7562596E" w14:textId="5D294FD5" w:rsidR="00D64DF6" w:rsidRPr="00D64DF6" w:rsidRDefault="00D64DF6" w:rsidP="00B72815">
      <w:pPr>
        <w:pStyle w:val="BodyText"/>
        <w:spacing w:after="360"/>
        <w:rPr>
          <w:b/>
          <w:bCs/>
          <w:sz w:val="44"/>
          <w:szCs w:val="44"/>
        </w:rPr>
      </w:pPr>
      <w:r w:rsidRPr="00D64DF6">
        <w:rPr>
          <w:b/>
          <w:bCs/>
          <w:sz w:val="44"/>
          <w:szCs w:val="44"/>
        </w:rPr>
        <w:t>References</w:t>
      </w:r>
    </w:p>
    <w:p w14:paraId="1C3BF7B2" w14:textId="77777777" w:rsidR="00D64DF6" w:rsidRPr="00D64DF6" w:rsidRDefault="00D64DF6" w:rsidP="00D64DF6">
      <w:pPr>
        <w:pStyle w:val="Reference"/>
        <w:rPr>
          <w:sz w:val="36"/>
          <w:szCs w:val="36"/>
        </w:rPr>
      </w:pPr>
      <w:r w:rsidRPr="00D64DF6">
        <w:rPr>
          <w:sz w:val="36"/>
          <w:szCs w:val="36"/>
        </w:rPr>
        <w:t>1</w:t>
      </w:r>
      <w:r w:rsidRPr="00D64DF6">
        <w:rPr>
          <w:sz w:val="36"/>
          <w:szCs w:val="36"/>
        </w:rPr>
        <w:tab/>
        <w:t xml:space="preserve">MSD, 2016: </w:t>
      </w:r>
      <w:r w:rsidRPr="00D64DF6">
        <w:rPr>
          <w:i/>
          <w:iCs/>
          <w:sz w:val="36"/>
          <w:szCs w:val="36"/>
        </w:rPr>
        <w:t xml:space="preserve">The Social Report 2016 | Te </w:t>
      </w:r>
      <w:proofErr w:type="spellStart"/>
      <w:r w:rsidRPr="00D64DF6">
        <w:rPr>
          <w:i/>
          <w:iCs/>
          <w:sz w:val="36"/>
          <w:szCs w:val="36"/>
        </w:rPr>
        <w:t>pūrongo</w:t>
      </w:r>
      <w:proofErr w:type="spellEnd"/>
      <w:r w:rsidRPr="00D64DF6">
        <w:rPr>
          <w:i/>
          <w:iCs/>
          <w:sz w:val="36"/>
          <w:szCs w:val="36"/>
        </w:rPr>
        <w:t xml:space="preserve"> </w:t>
      </w:r>
      <w:proofErr w:type="spellStart"/>
      <w:r w:rsidRPr="00D64DF6">
        <w:rPr>
          <w:i/>
          <w:iCs/>
          <w:sz w:val="36"/>
          <w:szCs w:val="36"/>
        </w:rPr>
        <w:t>oranga</w:t>
      </w:r>
      <w:proofErr w:type="spellEnd"/>
      <w:r w:rsidRPr="00D64DF6">
        <w:rPr>
          <w:i/>
          <w:iCs/>
          <w:sz w:val="36"/>
          <w:szCs w:val="36"/>
        </w:rPr>
        <w:t xml:space="preserve"> </w:t>
      </w:r>
      <w:proofErr w:type="spellStart"/>
      <w:r w:rsidRPr="00D64DF6">
        <w:rPr>
          <w:i/>
          <w:iCs/>
          <w:sz w:val="36"/>
          <w:szCs w:val="36"/>
        </w:rPr>
        <w:t>tangata</w:t>
      </w:r>
      <w:proofErr w:type="spellEnd"/>
      <w:r w:rsidRPr="00D64DF6">
        <w:rPr>
          <w:sz w:val="36"/>
          <w:szCs w:val="36"/>
        </w:rPr>
        <w:t>, Ministry of Social Development, June 2016, Wellington: NZ.</w:t>
      </w:r>
    </w:p>
    <w:p w14:paraId="439A293A" w14:textId="77777777" w:rsidR="00D64DF6" w:rsidRPr="00D64DF6" w:rsidRDefault="00D64DF6" w:rsidP="00D64DF6">
      <w:pPr>
        <w:pStyle w:val="Reference"/>
        <w:rPr>
          <w:sz w:val="36"/>
          <w:szCs w:val="36"/>
        </w:rPr>
      </w:pPr>
      <w:r w:rsidRPr="00D64DF6">
        <w:rPr>
          <w:sz w:val="36"/>
          <w:szCs w:val="36"/>
        </w:rPr>
        <w:lastRenderedPageBreak/>
        <w:t>2</w:t>
      </w:r>
      <w:r w:rsidRPr="00D64DF6">
        <w:rPr>
          <w:sz w:val="36"/>
          <w:szCs w:val="36"/>
        </w:rPr>
        <w:tab/>
        <w:t xml:space="preserve">Health and Disability System Review, 2020: </w:t>
      </w:r>
      <w:r w:rsidRPr="00D64DF6">
        <w:rPr>
          <w:rStyle w:val="Hyperlink"/>
          <w:rFonts w:ascii="Calibri" w:eastAsiaTheme="majorEastAsia" w:hAnsi="Calibri" w:cs="Calibri"/>
          <w:i/>
          <w:iCs/>
          <w:sz w:val="36"/>
          <w:szCs w:val="36"/>
        </w:rPr>
        <w:t xml:space="preserve">Health and Disability System Review – Final Report – </w:t>
      </w:r>
      <w:proofErr w:type="spellStart"/>
      <w:r w:rsidRPr="00D64DF6">
        <w:rPr>
          <w:rStyle w:val="Hyperlink"/>
          <w:rFonts w:ascii="Calibri" w:eastAsiaTheme="majorEastAsia" w:hAnsi="Calibri" w:cs="Calibri"/>
          <w:i/>
          <w:iCs/>
          <w:sz w:val="36"/>
          <w:szCs w:val="36"/>
        </w:rPr>
        <w:t>Pūrongo</w:t>
      </w:r>
      <w:proofErr w:type="spellEnd"/>
      <w:r w:rsidRPr="00D64DF6">
        <w:rPr>
          <w:rStyle w:val="Hyperlink"/>
          <w:rFonts w:ascii="Calibri" w:eastAsiaTheme="majorEastAsia" w:hAnsi="Calibri" w:cs="Calibri"/>
          <w:i/>
          <w:iCs/>
          <w:sz w:val="36"/>
          <w:szCs w:val="36"/>
        </w:rPr>
        <w:t xml:space="preserve"> </w:t>
      </w:r>
      <w:proofErr w:type="spellStart"/>
      <w:r w:rsidRPr="00D64DF6">
        <w:rPr>
          <w:rStyle w:val="Hyperlink"/>
          <w:rFonts w:ascii="Calibri" w:eastAsiaTheme="majorEastAsia" w:hAnsi="Calibri" w:cs="Calibri"/>
          <w:i/>
          <w:iCs/>
          <w:sz w:val="36"/>
          <w:szCs w:val="36"/>
        </w:rPr>
        <w:t>Whakamutunga</w:t>
      </w:r>
      <w:proofErr w:type="spellEnd"/>
      <w:r w:rsidRPr="00D64DF6">
        <w:rPr>
          <w:sz w:val="36"/>
          <w:szCs w:val="36"/>
        </w:rPr>
        <w:t>. Wellington: HDSR.</w:t>
      </w:r>
    </w:p>
    <w:p w14:paraId="0C2C6D71" w14:textId="77777777" w:rsidR="00D64DF6" w:rsidRPr="00D64DF6" w:rsidRDefault="00D64DF6" w:rsidP="00D64DF6">
      <w:pPr>
        <w:pStyle w:val="Reference"/>
        <w:rPr>
          <w:sz w:val="36"/>
          <w:szCs w:val="36"/>
        </w:rPr>
      </w:pPr>
      <w:r w:rsidRPr="00D64DF6">
        <w:rPr>
          <w:sz w:val="36"/>
          <w:szCs w:val="36"/>
        </w:rPr>
        <w:t>3</w:t>
      </w:r>
      <w:r w:rsidRPr="00D64DF6">
        <w:rPr>
          <w:sz w:val="36"/>
          <w:szCs w:val="36"/>
        </w:rPr>
        <w:tab/>
        <w:t xml:space="preserve">Duncanson M, </w:t>
      </w:r>
      <w:r w:rsidRPr="00D64DF6">
        <w:rPr>
          <w:i/>
          <w:iCs/>
          <w:sz w:val="36"/>
          <w:szCs w:val="36"/>
        </w:rPr>
        <w:t>et al</w:t>
      </w:r>
      <w:r w:rsidRPr="00D64DF6">
        <w:rPr>
          <w:sz w:val="36"/>
          <w:szCs w:val="36"/>
        </w:rPr>
        <w:t xml:space="preserve">., 2020: </w:t>
      </w:r>
      <w:r w:rsidRPr="00D64DF6">
        <w:rPr>
          <w:i/>
          <w:iCs/>
          <w:sz w:val="36"/>
          <w:szCs w:val="36"/>
        </w:rPr>
        <w:t>Child Poverty Monitor 2020 Technical Report</w:t>
      </w:r>
      <w:r w:rsidRPr="00D64DF6">
        <w:rPr>
          <w:sz w:val="36"/>
          <w:szCs w:val="36"/>
        </w:rPr>
        <w:t>, NZ Child and Youth Epidemiology Service, University of Otago, Dunedin.</w:t>
      </w:r>
    </w:p>
    <w:p w14:paraId="1F6F3396" w14:textId="77777777" w:rsidR="00D64DF6" w:rsidRPr="00D64DF6" w:rsidRDefault="00D64DF6" w:rsidP="00D64DF6">
      <w:pPr>
        <w:pStyle w:val="Reference"/>
        <w:rPr>
          <w:rStyle w:val="markedcontent"/>
          <w:sz w:val="36"/>
          <w:szCs w:val="36"/>
        </w:rPr>
      </w:pPr>
      <w:r w:rsidRPr="00D64DF6">
        <w:rPr>
          <w:sz w:val="36"/>
          <w:szCs w:val="36"/>
        </w:rPr>
        <w:t>4</w:t>
      </w:r>
      <w:r w:rsidRPr="00D64DF6">
        <w:rPr>
          <w:sz w:val="36"/>
          <w:szCs w:val="36"/>
        </w:rPr>
        <w:tab/>
      </w:r>
      <w:proofErr w:type="spellStart"/>
      <w:r w:rsidRPr="00D64DF6">
        <w:rPr>
          <w:rStyle w:val="markedcontent"/>
          <w:sz w:val="36"/>
          <w:szCs w:val="36"/>
        </w:rPr>
        <w:t>Neuwelt</w:t>
      </w:r>
      <w:proofErr w:type="spellEnd"/>
      <w:r w:rsidRPr="00D64DF6">
        <w:rPr>
          <w:rStyle w:val="markedcontent"/>
          <w:sz w:val="36"/>
          <w:szCs w:val="36"/>
        </w:rPr>
        <w:t xml:space="preserve">-Kearns C, </w:t>
      </w:r>
      <w:r w:rsidRPr="00D64DF6">
        <w:rPr>
          <w:rStyle w:val="markedcontent"/>
          <w:i/>
          <w:iCs/>
          <w:sz w:val="36"/>
          <w:szCs w:val="36"/>
        </w:rPr>
        <w:t>et al</w:t>
      </w:r>
      <w:r w:rsidRPr="00D64DF6">
        <w:rPr>
          <w:rStyle w:val="markedcontent"/>
          <w:sz w:val="36"/>
          <w:szCs w:val="36"/>
        </w:rPr>
        <w:t xml:space="preserve">. 2021: </w:t>
      </w:r>
      <w:r w:rsidRPr="00D64DF6">
        <w:rPr>
          <w:rStyle w:val="Hyperlink"/>
          <w:rFonts w:ascii="Calibri" w:eastAsiaTheme="majorEastAsia" w:hAnsi="Calibri" w:cs="Calibri"/>
          <w:i/>
          <w:iCs/>
          <w:sz w:val="36"/>
          <w:szCs w:val="36"/>
        </w:rPr>
        <w:t>Children can’t live on promises: A 2021 stocktake of implementation of the Welfare Expert Advisory Group’s 2019 recommendations</w:t>
      </w:r>
      <w:r w:rsidRPr="00D64DF6">
        <w:rPr>
          <w:rStyle w:val="markedcontent"/>
          <w:sz w:val="36"/>
          <w:szCs w:val="36"/>
        </w:rPr>
        <w:t>, Child Poverty Action Group, December 2021.</w:t>
      </w:r>
    </w:p>
    <w:p w14:paraId="081AC96D" w14:textId="77777777" w:rsidR="00D64DF6" w:rsidRPr="00D64DF6" w:rsidRDefault="00D64DF6" w:rsidP="00D64DF6">
      <w:pPr>
        <w:pStyle w:val="Reference"/>
        <w:rPr>
          <w:sz w:val="36"/>
          <w:szCs w:val="36"/>
        </w:rPr>
      </w:pPr>
      <w:r w:rsidRPr="00D64DF6">
        <w:rPr>
          <w:rStyle w:val="markedcontent"/>
          <w:sz w:val="36"/>
          <w:szCs w:val="36"/>
        </w:rPr>
        <w:t>5</w:t>
      </w:r>
      <w:r w:rsidRPr="00D64DF6">
        <w:rPr>
          <w:rStyle w:val="markedcontent"/>
          <w:sz w:val="36"/>
          <w:szCs w:val="36"/>
        </w:rPr>
        <w:tab/>
      </w:r>
      <w:r w:rsidRPr="00D64DF6">
        <w:rPr>
          <w:sz w:val="36"/>
          <w:szCs w:val="36"/>
        </w:rPr>
        <w:t xml:space="preserve">Grant M and Prickett K, 2023: </w:t>
      </w:r>
      <w:r w:rsidRPr="00D64DF6">
        <w:rPr>
          <w:rStyle w:val="Hyperlink"/>
          <w:rFonts w:ascii="Calibri" w:eastAsiaTheme="majorEastAsia" w:hAnsi="Calibri" w:cs="Calibri"/>
          <w:sz w:val="36"/>
          <w:szCs w:val="36"/>
        </w:rPr>
        <w:t>Child poverty in NZ: The plateau is a signal for change</w:t>
      </w:r>
      <w:r w:rsidRPr="00D64DF6">
        <w:rPr>
          <w:sz w:val="36"/>
          <w:szCs w:val="36"/>
        </w:rPr>
        <w:t xml:space="preserve">, </w:t>
      </w:r>
      <w:r w:rsidRPr="00D64DF6">
        <w:rPr>
          <w:i/>
          <w:iCs/>
          <w:sz w:val="36"/>
          <w:szCs w:val="36"/>
        </w:rPr>
        <w:t>New Zealand Herald</w:t>
      </w:r>
      <w:r w:rsidRPr="00D64DF6">
        <w:rPr>
          <w:sz w:val="36"/>
          <w:szCs w:val="36"/>
        </w:rPr>
        <w:t>, 23 March 2023.</w:t>
      </w:r>
    </w:p>
    <w:p w14:paraId="06AE1C77" w14:textId="77777777" w:rsidR="00D64DF6" w:rsidRPr="00D64DF6" w:rsidRDefault="00D64DF6" w:rsidP="00D64DF6">
      <w:pPr>
        <w:pStyle w:val="Reference"/>
        <w:rPr>
          <w:sz w:val="36"/>
          <w:szCs w:val="36"/>
        </w:rPr>
      </w:pPr>
      <w:r w:rsidRPr="00D64DF6">
        <w:rPr>
          <w:sz w:val="36"/>
          <w:szCs w:val="36"/>
        </w:rPr>
        <w:t>6</w:t>
      </w:r>
      <w:r w:rsidRPr="00D64DF6">
        <w:rPr>
          <w:sz w:val="36"/>
          <w:szCs w:val="36"/>
        </w:rPr>
        <w:tab/>
        <w:t xml:space="preserve">Lee H, </w:t>
      </w:r>
      <w:r w:rsidRPr="00D64DF6">
        <w:rPr>
          <w:i/>
          <w:iCs/>
          <w:sz w:val="36"/>
          <w:szCs w:val="36"/>
        </w:rPr>
        <w:t>et al</w:t>
      </w:r>
      <w:r w:rsidRPr="00D64DF6">
        <w:rPr>
          <w:sz w:val="36"/>
          <w:szCs w:val="36"/>
        </w:rPr>
        <w:t xml:space="preserve">., 2021: Childhood Poverty, Adverse Childhood Experiences, and Adult Health Outcomes, </w:t>
      </w:r>
      <w:r w:rsidRPr="00D64DF6">
        <w:rPr>
          <w:i/>
          <w:iCs/>
          <w:sz w:val="36"/>
          <w:szCs w:val="36"/>
        </w:rPr>
        <w:t>Health Soc Work</w:t>
      </w:r>
      <w:r w:rsidRPr="00D64DF6">
        <w:rPr>
          <w:sz w:val="36"/>
          <w:szCs w:val="36"/>
        </w:rPr>
        <w:t>; Aug 5;46(3):159-170.</w:t>
      </w:r>
    </w:p>
    <w:p w14:paraId="6086A7BE" w14:textId="77777777" w:rsidR="00D64DF6" w:rsidRPr="00D64DF6" w:rsidRDefault="00D64DF6" w:rsidP="00D64DF6">
      <w:pPr>
        <w:pStyle w:val="Reference"/>
        <w:rPr>
          <w:sz w:val="36"/>
          <w:szCs w:val="36"/>
        </w:rPr>
      </w:pPr>
      <w:r w:rsidRPr="00D64DF6">
        <w:rPr>
          <w:sz w:val="36"/>
          <w:szCs w:val="36"/>
        </w:rPr>
        <w:t>7</w:t>
      </w:r>
      <w:r w:rsidRPr="00D64DF6">
        <w:rPr>
          <w:sz w:val="36"/>
          <w:szCs w:val="36"/>
        </w:rPr>
        <w:tab/>
        <w:t xml:space="preserve">Poulton R, </w:t>
      </w:r>
      <w:r w:rsidRPr="00D64DF6">
        <w:rPr>
          <w:i/>
          <w:iCs/>
          <w:sz w:val="36"/>
          <w:szCs w:val="36"/>
        </w:rPr>
        <w:t>et al</w:t>
      </w:r>
      <w:r w:rsidRPr="00D64DF6">
        <w:rPr>
          <w:sz w:val="36"/>
          <w:szCs w:val="36"/>
        </w:rPr>
        <w:t xml:space="preserve">., 2002: Association between children’s experience of socioeconomic disadvantage and adult health: a life-course study, </w:t>
      </w:r>
      <w:r w:rsidRPr="00D64DF6">
        <w:rPr>
          <w:i/>
          <w:iCs/>
          <w:sz w:val="36"/>
          <w:szCs w:val="36"/>
        </w:rPr>
        <w:t>Lancet</w:t>
      </w:r>
      <w:r w:rsidRPr="00D64DF6">
        <w:rPr>
          <w:sz w:val="36"/>
          <w:szCs w:val="36"/>
        </w:rPr>
        <w:t>; Nov 23;360(9346):1640-5.</w:t>
      </w:r>
    </w:p>
    <w:p w14:paraId="28DE0BCD" w14:textId="77777777" w:rsidR="00D64DF6" w:rsidRPr="00D64DF6" w:rsidRDefault="00D64DF6" w:rsidP="00D64DF6">
      <w:pPr>
        <w:pStyle w:val="Reference"/>
        <w:rPr>
          <w:sz w:val="36"/>
          <w:szCs w:val="36"/>
        </w:rPr>
      </w:pPr>
      <w:r w:rsidRPr="00D64DF6">
        <w:rPr>
          <w:sz w:val="36"/>
          <w:szCs w:val="36"/>
        </w:rPr>
        <w:t>8</w:t>
      </w:r>
      <w:r w:rsidRPr="00D64DF6">
        <w:rPr>
          <w:sz w:val="36"/>
          <w:szCs w:val="36"/>
        </w:rPr>
        <w:tab/>
        <w:t xml:space="preserve">Melchior M, </w:t>
      </w:r>
      <w:r w:rsidRPr="00D64DF6">
        <w:rPr>
          <w:i/>
          <w:iCs/>
          <w:sz w:val="36"/>
          <w:szCs w:val="36"/>
        </w:rPr>
        <w:t>et al</w:t>
      </w:r>
      <w:r w:rsidRPr="00D64DF6">
        <w:rPr>
          <w:sz w:val="36"/>
          <w:szCs w:val="36"/>
        </w:rPr>
        <w:t xml:space="preserve">., 2007: Why do children from socioeconomically disadvantaged families suffer from poor health when they reach adulthood? A life-course study, </w:t>
      </w:r>
      <w:r w:rsidRPr="00D64DF6">
        <w:rPr>
          <w:i/>
          <w:iCs/>
          <w:sz w:val="36"/>
          <w:szCs w:val="36"/>
        </w:rPr>
        <w:t xml:space="preserve">Am J </w:t>
      </w:r>
      <w:proofErr w:type="spellStart"/>
      <w:r w:rsidRPr="00D64DF6">
        <w:rPr>
          <w:i/>
          <w:iCs/>
          <w:sz w:val="36"/>
          <w:szCs w:val="36"/>
        </w:rPr>
        <w:t>Epidemiol</w:t>
      </w:r>
      <w:proofErr w:type="spellEnd"/>
      <w:r w:rsidRPr="00D64DF6">
        <w:rPr>
          <w:sz w:val="36"/>
          <w:szCs w:val="36"/>
        </w:rPr>
        <w:t>; Oct 15;166(8):966-74.</w:t>
      </w:r>
    </w:p>
    <w:p w14:paraId="697780E6" w14:textId="77777777" w:rsidR="00D64DF6" w:rsidRPr="00D64DF6" w:rsidRDefault="00D64DF6" w:rsidP="00D64DF6">
      <w:pPr>
        <w:pStyle w:val="Reference"/>
        <w:rPr>
          <w:sz w:val="36"/>
          <w:szCs w:val="36"/>
        </w:rPr>
      </w:pPr>
      <w:r w:rsidRPr="00D64DF6">
        <w:rPr>
          <w:sz w:val="36"/>
          <w:szCs w:val="36"/>
        </w:rPr>
        <w:t>9</w:t>
      </w:r>
      <w:r w:rsidRPr="00D64DF6">
        <w:rPr>
          <w:sz w:val="36"/>
          <w:szCs w:val="36"/>
        </w:rPr>
        <w:tab/>
        <w:t xml:space="preserve">Raphael D, 2011: Poverty in childhood and adverse health outcomes in adulthood, </w:t>
      </w:r>
      <w:proofErr w:type="spellStart"/>
      <w:r w:rsidRPr="00D64DF6">
        <w:rPr>
          <w:i/>
          <w:iCs/>
          <w:sz w:val="36"/>
          <w:szCs w:val="36"/>
        </w:rPr>
        <w:t>Maturitas</w:t>
      </w:r>
      <w:proofErr w:type="spellEnd"/>
      <w:r w:rsidRPr="00D64DF6">
        <w:rPr>
          <w:sz w:val="36"/>
          <w:szCs w:val="36"/>
        </w:rPr>
        <w:t>; May;69(1):22-6.</w:t>
      </w:r>
    </w:p>
    <w:p w14:paraId="2898F80F" w14:textId="77777777" w:rsidR="00D64DF6" w:rsidRPr="00D64DF6" w:rsidRDefault="00D64DF6" w:rsidP="00D64DF6">
      <w:pPr>
        <w:pStyle w:val="Reference"/>
        <w:rPr>
          <w:sz w:val="36"/>
          <w:szCs w:val="36"/>
        </w:rPr>
      </w:pPr>
      <w:r w:rsidRPr="00D64DF6">
        <w:rPr>
          <w:sz w:val="36"/>
          <w:szCs w:val="36"/>
        </w:rPr>
        <w:t>10</w:t>
      </w:r>
      <w:r w:rsidRPr="00D64DF6">
        <w:rPr>
          <w:sz w:val="36"/>
          <w:szCs w:val="36"/>
        </w:rPr>
        <w:tab/>
        <w:t xml:space="preserve">Gupta RP, 2007: The impact of poverty on the current and future health status of children, </w:t>
      </w:r>
      <w:proofErr w:type="spellStart"/>
      <w:r w:rsidRPr="00D64DF6">
        <w:rPr>
          <w:i/>
          <w:iCs/>
          <w:sz w:val="36"/>
          <w:szCs w:val="36"/>
        </w:rPr>
        <w:t>Paediatr</w:t>
      </w:r>
      <w:proofErr w:type="spellEnd"/>
      <w:r w:rsidRPr="00D64DF6">
        <w:rPr>
          <w:i/>
          <w:iCs/>
          <w:sz w:val="36"/>
          <w:szCs w:val="36"/>
        </w:rPr>
        <w:t xml:space="preserve"> Child Health</w:t>
      </w:r>
      <w:r w:rsidRPr="00D64DF6">
        <w:rPr>
          <w:sz w:val="36"/>
          <w:szCs w:val="36"/>
        </w:rPr>
        <w:t>; Oct;12(8):667-72.</w:t>
      </w:r>
    </w:p>
    <w:p w14:paraId="0F711EA2" w14:textId="77777777" w:rsidR="00D64DF6" w:rsidRPr="00D64DF6" w:rsidRDefault="00D64DF6" w:rsidP="00D64DF6">
      <w:pPr>
        <w:pStyle w:val="Reference"/>
        <w:rPr>
          <w:sz w:val="36"/>
          <w:szCs w:val="36"/>
          <w:vertAlign w:val="superscript"/>
        </w:rPr>
      </w:pPr>
      <w:r w:rsidRPr="00D64DF6">
        <w:rPr>
          <w:sz w:val="36"/>
          <w:szCs w:val="36"/>
        </w:rPr>
        <w:lastRenderedPageBreak/>
        <w:t>11</w:t>
      </w:r>
      <w:r w:rsidRPr="00D64DF6">
        <w:rPr>
          <w:sz w:val="36"/>
          <w:szCs w:val="36"/>
        </w:rPr>
        <w:tab/>
        <w:t xml:space="preserve">Mandle J, 2019: Intergenerational Poverty, Women’s and </w:t>
      </w:r>
      <w:r w:rsidRPr="00D64DF6">
        <w:rPr>
          <w:spacing w:val="-2"/>
          <w:sz w:val="36"/>
          <w:szCs w:val="36"/>
        </w:rPr>
        <w:t xml:space="preserve">Children’s Health, </w:t>
      </w:r>
      <w:r w:rsidRPr="00D64DF6">
        <w:rPr>
          <w:i/>
          <w:iCs/>
          <w:spacing w:val="-2"/>
          <w:sz w:val="36"/>
          <w:szCs w:val="36"/>
        </w:rPr>
        <w:t>The Utah Women’s Health Review</w:t>
      </w:r>
      <w:r w:rsidRPr="00D64DF6">
        <w:rPr>
          <w:spacing w:val="-2"/>
          <w:sz w:val="36"/>
          <w:szCs w:val="36"/>
        </w:rPr>
        <w:t>, May 2019.</w:t>
      </w:r>
    </w:p>
    <w:p w14:paraId="45B556DD" w14:textId="77777777" w:rsidR="00B72815" w:rsidRPr="00345CB6" w:rsidRDefault="00B72815" w:rsidP="00B72815">
      <w:pPr>
        <w:pStyle w:val="BodyText"/>
        <w:rPr>
          <w:rStyle w:val="Heading1Char"/>
          <w:rFonts w:ascii="Times New Roman" w:hAnsi="Times New Roman"/>
          <w:b w:val="0"/>
          <w:sz w:val="22"/>
        </w:rPr>
      </w:pPr>
    </w:p>
    <w:p w14:paraId="58D243C3" w14:textId="77777777" w:rsidR="00B72815" w:rsidRDefault="00B72815" w:rsidP="00B72815">
      <w:pPr>
        <w:pStyle w:val="Heading2"/>
        <w:rPr>
          <w:rFonts w:eastAsia="Times New Roman"/>
        </w:rPr>
      </w:pPr>
      <w:r w:rsidRPr="00D64DF6">
        <w:rPr>
          <w:rStyle w:val="Heading1Char"/>
          <w:b/>
          <w:bCs w:val="0"/>
        </w:rPr>
        <w:t xml:space="preserve">Women’s Health in an Uncertain Future </w:t>
      </w:r>
      <w:r w:rsidRPr="00D64DF6">
        <w:rPr>
          <w:rStyle w:val="Heading1Char"/>
          <w:b/>
          <w:bCs w:val="0"/>
        </w:rPr>
        <w:br/>
      </w:r>
      <w:r>
        <w:rPr>
          <w:rFonts w:eastAsia="Times New Roman"/>
        </w:rPr>
        <w:t xml:space="preserve">how women’s health is disproportionately impacted by pandemics and climate </w:t>
      </w:r>
      <w:proofErr w:type="gramStart"/>
      <w:r>
        <w:rPr>
          <w:rFonts w:eastAsia="Times New Roman"/>
        </w:rPr>
        <w:t>change</w:t>
      </w:r>
      <w:proofErr w:type="gramEnd"/>
      <w:r>
        <w:rPr>
          <w:rFonts w:eastAsia="Times New Roman"/>
        </w:rPr>
        <w:t xml:space="preserve"> </w:t>
      </w:r>
    </w:p>
    <w:p w14:paraId="157E63C3" w14:textId="77777777" w:rsidR="00B72815" w:rsidRPr="00D64DF6" w:rsidRDefault="00B72815" w:rsidP="00B72815">
      <w:pPr>
        <w:pStyle w:val="Byline0"/>
        <w:rPr>
          <w:sz w:val="36"/>
          <w:szCs w:val="36"/>
        </w:rPr>
      </w:pPr>
      <w:r w:rsidRPr="00D64DF6">
        <w:rPr>
          <w:sz w:val="36"/>
          <w:szCs w:val="36"/>
        </w:rPr>
        <w:t>By Sue Claridge</w:t>
      </w:r>
    </w:p>
    <w:p w14:paraId="2CC5F41A" w14:textId="77777777" w:rsidR="00B72815" w:rsidRDefault="00B72815" w:rsidP="00B72815">
      <w:pPr>
        <w:pStyle w:val="BodyText"/>
        <w:spacing w:after="120"/>
        <w:rPr>
          <w:rFonts w:cstheme="minorHAnsi"/>
        </w:rPr>
      </w:pPr>
      <w:r>
        <w:rPr>
          <w:rFonts w:cstheme="minorHAnsi"/>
        </w:rPr>
        <w:t xml:space="preserve">When people talk about women’s health there is a strong focus on their sexual and reproductive health; for </w:t>
      </w:r>
      <w:proofErr w:type="gramStart"/>
      <w:r>
        <w:rPr>
          <w:rFonts w:cstheme="minorHAnsi"/>
        </w:rPr>
        <w:t>example</w:t>
      </w:r>
      <w:proofErr w:type="gramEnd"/>
      <w:r>
        <w:rPr>
          <w:rFonts w:cstheme="minorHAnsi"/>
        </w:rPr>
        <w:t xml:space="preserve"> at medical school “women’s health” is really obstetrics and gynaecology. This focus is at the expense of the biggest causes of morbidity and mortality, non-communicable diseases.</w:t>
      </w:r>
    </w:p>
    <w:p w14:paraId="41324F21" w14:textId="0AC43969" w:rsidR="00B72815" w:rsidRDefault="00B72815" w:rsidP="00B72815">
      <w:pPr>
        <w:pStyle w:val="BodyText"/>
        <w:spacing w:after="120"/>
        <w:rPr>
          <w:rFonts w:cstheme="minorHAnsi"/>
        </w:rPr>
      </w:pPr>
      <w:r>
        <w:t xml:space="preserve">Bonita and Beaglehole write that the global discourse on health largely views women in terms of their reproductive capacity, a persisting myth reflecting gender bias that shifts the focus away from non-communicable diseases, violence, and other injuries. </w:t>
      </w:r>
    </w:p>
    <w:p w14:paraId="42127BFB" w14:textId="77777777" w:rsidR="00B72815" w:rsidRDefault="00B72815" w:rsidP="00B72815">
      <w:pPr>
        <w:pStyle w:val="BodyText"/>
        <w:spacing w:after="120"/>
        <w:rPr>
          <w:rFonts w:cstheme="minorHAnsi"/>
        </w:rPr>
      </w:pPr>
      <w:r>
        <w:rPr>
          <w:rFonts w:cstheme="minorHAnsi"/>
        </w:rPr>
        <w:t>Today, women also face two other growing threats to their health. Severe global or national events, such as pandemics and weather/environmental events caused by climate change, disproportionately affect women in ways that can significantly negatively impact on their health.</w:t>
      </w:r>
    </w:p>
    <w:p w14:paraId="5A2B219A" w14:textId="24DB37A7" w:rsidR="00B72815" w:rsidRPr="003F7309" w:rsidRDefault="00B72815" w:rsidP="00B72815">
      <w:pPr>
        <w:pStyle w:val="BodyText"/>
      </w:pPr>
      <w:r w:rsidRPr="003F7309">
        <w:t xml:space="preserve">While an increasing volume of research has investigated the impacts on women’s health in low and middle-income countries, there is a dearth of quality research on the impact of pandemics and climate change on women’s health in </w:t>
      </w:r>
      <w:r>
        <w:t xml:space="preserve">Aotearoa </w:t>
      </w:r>
      <w:r w:rsidRPr="003F7309">
        <w:t xml:space="preserve">New Zealand. Kim van Daalen and colleagues write that </w:t>
      </w:r>
      <w:r w:rsidRPr="003F7309">
        <w:lastRenderedPageBreak/>
        <w:t>“Despite obvious disparities between genders, gender-disaggregated health data are often either under-represented or non-existent as a variable when assessing the health effects of climate change in medical research, environmental research, and strategic planning of mitigation and adaptation policies. This disregard for gender differences is particularly concerning as climate change is predicted to worsen existing social and economic inequalities between and within countries.</w:t>
      </w:r>
      <w:bookmarkStart w:id="11" w:name="_Ref130121606"/>
      <w:r>
        <w:t>”</w:t>
      </w:r>
      <w:bookmarkEnd w:id="11"/>
    </w:p>
    <w:p w14:paraId="43B4ED7B" w14:textId="77777777" w:rsidR="00B72815" w:rsidRDefault="00B72815" w:rsidP="00B72815">
      <w:pPr>
        <w:pStyle w:val="BodyText"/>
        <w:spacing w:after="360"/>
        <w:rPr>
          <w:rFonts w:cstheme="minorHAnsi"/>
        </w:rPr>
      </w:pPr>
      <w:r>
        <w:rPr>
          <w:rFonts w:cstheme="minorHAnsi"/>
        </w:rPr>
        <w:t>These issues must be addressed, as the evidence is clear that such events will increase in frequency. There must be a change in our culture to ensure that women do not suffer a greater loss in health as the result of pandemics and weather events. We argued in our submission on the women’s health strategy that the strategy must incorporate a blueprint for bringing about that change.</w:t>
      </w:r>
    </w:p>
    <w:p w14:paraId="0F076E0A" w14:textId="77777777" w:rsidR="00B72815" w:rsidRDefault="00B72815" w:rsidP="00B72815">
      <w:pPr>
        <w:pStyle w:val="Heading2"/>
      </w:pPr>
      <w:bookmarkStart w:id="12" w:name="_Toc130576239"/>
      <w:r>
        <w:t>Pandemics</w:t>
      </w:r>
      <w:bookmarkEnd w:id="12"/>
      <w:r>
        <w:t xml:space="preserve"> </w:t>
      </w:r>
      <w:r w:rsidRPr="007830C7">
        <w:t xml:space="preserve">expose and exacerbate the existing dynamics of a society — good and </w:t>
      </w:r>
      <w:proofErr w:type="gramStart"/>
      <w:r w:rsidRPr="007830C7">
        <w:t>bad</w:t>
      </w:r>
      <w:proofErr w:type="gramEnd"/>
    </w:p>
    <w:p w14:paraId="2B152DC1" w14:textId="676BC0F1" w:rsidR="00B72815" w:rsidRDefault="00B72815" w:rsidP="00B72815">
      <w:pPr>
        <w:pStyle w:val="BodyText"/>
      </w:pPr>
      <w:r>
        <w:t xml:space="preserve">Dr </w:t>
      </w:r>
      <w:r w:rsidRPr="00345720">
        <w:rPr>
          <w:rStyle w:val="Emphasis"/>
          <w:rFonts w:eastAsiaTheme="majorEastAsia"/>
        </w:rPr>
        <w:t>Lieberman Lawry</w:t>
      </w:r>
      <w:r>
        <w:t xml:space="preserve">, an Associate Professor in Preventive Medicine and Biostatistics, and colleagues found that “despite decades of understanding that sex and gender impact health, public health and disease, these impacts are routinely overlooked during pandemics.” Pandemics exacerbate existing gender inequalities and </w:t>
      </w:r>
      <w:r w:rsidRPr="00345720">
        <w:rPr>
          <w:rStyle w:val="Emphasis"/>
          <w:rFonts w:eastAsiaTheme="majorEastAsia"/>
        </w:rPr>
        <w:t>Lieberman Lawry et al. say that “inclusive gender assessment that covers sex and all genders is necessary at baseline, early recovery, and post-disaster phases” so that policy, programmes and interventions properly respond to different needs of people</w:t>
      </w:r>
      <w:r w:rsidRPr="00751239">
        <w:rPr>
          <w:rStyle w:val="Emphasis"/>
          <w:rFonts w:eastAsiaTheme="majorEastAsia"/>
        </w:rPr>
        <w:t>.</w:t>
      </w:r>
      <w:r>
        <w:t xml:space="preserve"> </w:t>
      </w:r>
    </w:p>
    <w:p w14:paraId="668920D3" w14:textId="2BD5BE36" w:rsidR="00B72815" w:rsidRDefault="00B72815" w:rsidP="00B72815">
      <w:pPr>
        <w:pStyle w:val="BodyText"/>
      </w:pPr>
      <w:r>
        <w:t xml:space="preserve">We have written previously in the Newsletter about the gendered impacts of Covid-19 on women’s health: </w:t>
      </w:r>
    </w:p>
    <w:p w14:paraId="35BD2515" w14:textId="41EEDD3B" w:rsidR="00B72815" w:rsidRDefault="00B72815" w:rsidP="00B72815">
      <w:pPr>
        <w:pStyle w:val="BodyText"/>
      </w:pPr>
      <w:r>
        <w:lastRenderedPageBreak/>
        <w:t xml:space="preserve">The changes in the way we lived because of the Covid-19 pandemic, and the restrictions imposed, </w:t>
      </w:r>
      <w:r w:rsidRPr="005858C6">
        <w:t>disproportionately impacted on women’s health and wellbeing.</w:t>
      </w:r>
      <w:r>
        <w:t xml:space="preserve"> As </w:t>
      </w:r>
      <w:r w:rsidRPr="007830C7">
        <w:t>Chloe Cooney noted: “Pandemics expose and exacerbate the existing dynamics of a society — good and bad.</w:t>
      </w:r>
      <w:r>
        <w:t xml:space="preserve">” </w:t>
      </w:r>
    </w:p>
    <w:p w14:paraId="344455B8" w14:textId="03AA0272" w:rsidR="00B72815" w:rsidRPr="008C2E3A" w:rsidRDefault="00B72815" w:rsidP="00B72815">
      <w:pPr>
        <w:pStyle w:val="BodyText"/>
      </w:pPr>
      <w:r w:rsidRPr="005858C6">
        <w:t xml:space="preserve">The pandemic response and lockdowns </w:t>
      </w:r>
      <w:r w:rsidRPr="008C2E3A">
        <w:t xml:space="preserve">involved </w:t>
      </w:r>
      <w:r w:rsidRPr="005858C6">
        <w:t>a</w:t>
      </w:r>
      <w:r w:rsidRPr="008C2E3A">
        <w:t xml:space="preserve"> radical revision of “home” as an intense site of practically everything</w:t>
      </w:r>
      <w:r w:rsidRPr="005858C6">
        <w:t>.</w:t>
      </w:r>
      <w:r w:rsidRPr="008C2E3A">
        <w:t xml:space="preserve"> Many government responses assume</w:t>
      </w:r>
      <w:r w:rsidRPr="005858C6">
        <w:t>d</w:t>
      </w:r>
      <w:r w:rsidRPr="008C2E3A">
        <w:t xml:space="preserve"> home as a safe space to retreat to. We know that home is a privileged location for some, and for others a place of dispossession, disconnection, </w:t>
      </w:r>
      <w:proofErr w:type="gramStart"/>
      <w:r w:rsidRPr="008C2E3A">
        <w:t>violence</w:t>
      </w:r>
      <w:proofErr w:type="gramEnd"/>
      <w:r w:rsidRPr="008C2E3A">
        <w:t xml:space="preserve"> and loss. Our homes </w:t>
      </w:r>
      <w:r w:rsidRPr="005858C6">
        <w:t>were</w:t>
      </w:r>
      <w:r w:rsidRPr="008C2E3A">
        <w:t xml:space="preserve"> invested with enhanced capacity where governments and employers assume</w:t>
      </w:r>
      <w:r w:rsidRPr="005858C6">
        <w:t>d</w:t>
      </w:r>
      <w:r w:rsidRPr="008C2E3A">
        <w:t xml:space="preserve"> free and amenable space (and time) for work, leisure, sustenance, care, childcare and education</w:t>
      </w:r>
      <w:r>
        <w:t>.</w:t>
      </w:r>
    </w:p>
    <w:p w14:paraId="3C994B6F" w14:textId="2C2C7302" w:rsidR="00B72815" w:rsidRDefault="00B72815" w:rsidP="00B72815">
      <w:pPr>
        <w:pStyle w:val="BodyText"/>
      </w:pPr>
      <w:r w:rsidRPr="00262E3E">
        <w:t xml:space="preserve">We are facing a ‘care crisis’, which could lead to profound and long-lasting shifts in women’s work and life outside the home. Rates of anxiety and stress among women are reactions to their position as frontline workers and care providers, and to the impossible choices they can face regarding childcare, education, and their economic and personal security. </w:t>
      </w:r>
    </w:p>
    <w:p w14:paraId="5FEFC820" w14:textId="77777777" w:rsidR="00B72815" w:rsidRDefault="00B72815" w:rsidP="00B72815">
      <w:pPr>
        <w:pStyle w:val="BodyText"/>
      </w:pPr>
      <w:r>
        <w:t>Ongoing research, both here and internationally, continues to paint a very poor picture for women’s health through the Covid-19 pandemic.</w:t>
      </w:r>
    </w:p>
    <w:p w14:paraId="0CDD558F" w14:textId="4044D1EB" w:rsidR="00B72815" w:rsidRDefault="00B72815" w:rsidP="00B72815">
      <w:pPr>
        <w:pStyle w:val="BodyText"/>
      </w:pPr>
      <w:r w:rsidRPr="00EF161E">
        <w:t>Ann Keeling</w:t>
      </w:r>
      <w:r>
        <w:t>, senior fellow at Women in Global Health and lead author of the report</w:t>
      </w:r>
      <w:r w:rsidRPr="009E331A">
        <w:rPr>
          <w:rFonts w:ascii="Arial" w:hAnsi="Arial" w:cs="Arial"/>
        </w:rPr>
        <w:t xml:space="preserve"> </w:t>
      </w:r>
      <w:r w:rsidRPr="009E331A">
        <w:rPr>
          <w:i/>
          <w:iCs/>
        </w:rPr>
        <w:t>The State of Women and Leadership in Global Health</w:t>
      </w:r>
      <w:r w:rsidRPr="00EF161E">
        <w:t xml:space="preserve"> says “It</w:t>
      </w:r>
      <w:r>
        <w:t>’</w:t>
      </w:r>
      <w:r w:rsidRPr="00EF161E">
        <w:t>s not surprising now that what we see is massive exhaustion amongst the women who</w:t>
      </w:r>
      <w:r>
        <w:t>’</w:t>
      </w:r>
      <w:r w:rsidRPr="00EF161E">
        <w:t>ve been on the frontline for three years. They</w:t>
      </w:r>
      <w:r>
        <w:t>’</w:t>
      </w:r>
      <w:r w:rsidRPr="00EF161E">
        <w:t>re burnt out. But it</w:t>
      </w:r>
      <w:r>
        <w:t>’</w:t>
      </w:r>
      <w:r w:rsidRPr="00EF161E">
        <w:t>s also to do with this concept of moral injury.”</w:t>
      </w:r>
    </w:p>
    <w:p w14:paraId="222811F0" w14:textId="77777777" w:rsidR="00B72815" w:rsidRPr="00EF161E" w:rsidRDefault="00B72815" w:rsidP="00B72815">
      <w:pPr>
        <w:pStyle w:val="BodyText"/>
      </w:pPr>
      <w:r w:rsidRPr="00EF161E">
        <w:lastRenderedPageBreak/>
        <w:t>‘Moral injury’ is what happens when health workers can</w:t>
      </w:r>
      <w:r>
        <w:t>’</w:t>
      </w:r>
      <w:r w:rsidRPr="00EF161E">
        <w:t>t treat patients in a way that aligns with their values or professional training because the situation doesn't allow it. We see this in Aotearoa New Zealand in our nurses and midwives. When they take strike action, for example, it is not just about pay, it is about their working conditions and the safety of their patients. The</w:t>
      </w:r>
      <w:r>
        <w:t>y</w:t>
      </w:r>
      <w:r w:rsidRPr="00EF161E">
        <w:t xml:space="preserve"> face working in situations where there is not enough nursing staff to provide safe care</w:t>
      </w:r>
      <w:r>
        <w:t>,</w:t>
      </w:r>
      <w:r w:rsidRPr="00EF161E">
        <w:t xml:space="preserve"> and </w:t>
      </w:r>
      <w:r>
        <w:t xml:space="preserve">they </w:t>
      </w:r>
      <w:r w:rsidRPr="00EF161E">
        <w:t xml:space="preserve">have unreasonable workloads and </w:t>
      </w:r>
      <w:r>
        <w:t xml:space="preserve">are </w:t>
      </w:r>
      <w:r w:rsidRPr="00EF161E">
        <w:t>forced to work excessive overtime.</w:t>
      </w:r>
    </w:p>
    <w:p w14:paraId="7644E67F" w14:textId="77777777" w:rsidR="00B72815" w:rsidRPr="00EF161E" w:rsidRDefault="00B72815" w:rsidP="00B72815">
      <w:pPr>
        <w:pStyle w:val="BodyText"/>
      </w:pPr>
      <w:r w:rsidRPr="00EF161E">
        <w:t xml:space="preserve">Keeling goes on to say that during the pandemic more women were on the front lines, they were more exposed to the virus and more likely to get sick, leading to death or disability from long COVID – a condition that early research shows </w:t>
      </w:r>
      <w:proofErr w:type="gramStart"/>
      <w:r w:rsidRPr="00EF161E">
        <w:t>tends</w:t>
      </w:r>
      <w:proofErr w:type="gramEnd"/>
      <w:r w:rsidRPr="00EF161E">
        <w:t xml:space="preserve"> to affect women more than men.</w:t>
      </w:r>
    </w:p>
    <w:p w14:paraId="4C4B8CD3" w14:textId="50077F11" w:rsidR="00B72815" w:rsidRDefault="00B72815" w:rsidP="00B72815">
      <w:pPr>
        <w:pStyle w:val="BodyText"/>
        <w:rPr>
          <w:vertAlign w:val="superscript"/>
        </w:rPr>
      </w:pPr>
      <w:r w:rsidRPr="00EF161E">
        <w:t>“All of this means health care is now seeing a ‘great resignation’ from women across the field. And women may begin looking for better-paying jobs in other countries, creating staff shortages in the places they</w:t>
      </w:r>
      <w:r>
        <w:t>’</w:t>
      </w:r>
      <w:r w:rsidRPr="00EF161E">
        <w:t>re leaving.”</w:t>
      </w:r>
      <w:r w:rsidR="00D64DF6">
        <w:rPr>
          <w:vertAlign w:val="superscript"/>
        </w:rPr>
        <w:t xml:space="preserve"> </w:t>
      </w:r>
    </w:p>
    <w:p w14:paraId="096649B5" w14:textId="77777777" w:rsidR="00B72815" w:rsidRPr="005D4861" w:rsidRDefault="00B72815" w:rsidP="00B72815">
      <w:pPr>
        <w:pStyle w:val="BodyText"/>
      </w:pPr>
      <w:r>
        <w:t>Unfortunately, this is a situation that is all too familiar in Aotearoa New Zealand, with chronic shortages of nursing staff in both hospitals and aged-care facilities.</w:t>
      </w:r>
    </w:p>
    <w:p w14:paraId="34264A12" w14:textId="4AA28C9C" w:rsidR="00B72815" w:rsidRDefault="00B72815" w:rsidP="00B72815">
      <w:pPr>
        <w:pStyle w:val="BodyText"/>
      </w:pPr>
      <w:r>
        <w:t xml:space="preserve">However, despite women being at the frontline of the health response during Covid-19, they were typically “excluded from decision-making at country level during the pandemic: a WGH study in </w:t>
      </w:r>
      <w:r>
        <w:rPr>
          <w:rStyle w:val="highlight"/>
        </w:rPr>
        <w:t>2020</w:t>
      </w:r>
      <w:r>
        <w:t xml:space="preserve"> found 85% of 115 national COVID-19 task forces had majority male membership.”</w:t>
      </w:r>
    </w:p>
    <w:p w14:paraId="3BF4598C" w14:textId="77777777" w:rsidR="00B72815" w:rsidRDefault="00B72815" w:rsidP="00B72815">
      <w:pPr>
        <w:pStyle w:val="BodyText"/>
      </w:pPr>
      <w:r>
        <w:t xml:space="preserve">While Aotearoa New Zealand fared better than many countries, with women comprising 36% of our </w:t>
      </w:r>
      <w:r w:rsidRPr="00656389">
        <w:t>Epidemic Response Select Committee</w:t>
      </w:r>
      <w:r>
        <w:t xml:space="preserve">, we still </w:t>
      </w:r>
      <w:proofErr w:type="spellStart"/>
      <w:r>
        <w:t>fell well</w:t>
      </w:r>
      <w:proofErr w:type="spellEnd"/>
      <w:r>
        <w:t xml:space="preserve"> below gender parity and did not do </w:t>
      </w:r>
      <w:r>
        <w:lastRenderedPageBreak/>
        <w:t xml:space="preserve">as well as </w:t>
      </w:r>
      <w:proofErr w:type="gramStart"/>
      <w:r>
        <w:t>a number of</w:t>
      </w:r>
      <w:proofErr w:type="gramEnd"/>
      <w:r>
        <w:t xml:space="preserve"> other countries, such as Argentina, Chile and Ireland, Canada, South Africa, Finland, the latter three of which reached 50% women or just above.</w:t>
      </w:r>
    </w:p>
    <w:p w14:paraId="281C34DD" w14:textId="77777777" w:rsidR="00B72815" w:rsidRDefault="00B72815" w:rsidP="00B72815">
      <w:pPr>
        <w:pStyle w:val="BodyText"/>
      </w:pPr>
      <w:r>
        <w:t>So, while in Aotearoa New Zealand women have had a diminished role in Covid-19 decision making, we have likely suffered a greater direct and indirect impact on our health.</w:t>
      </w:r>
    </w:p>
    <w:p w14:paraId="5D24D66E" w14:textId="58BF0091" w:rsidR="00B72815" w:rsidRPr="00852D02" w:rsidRDefault="00B72815" w:rsidP="00B72815">
      <w:pPr>
        <w:pStyle w:val="BodyText"/>
      </w:pPr>
      <w:r w:rsidRPr="00852D02">
        <w:t xml:space="preserve">New findings linking ‘long COVID’ symptoms to women’s reproductive capacity suggest that COVID infection may have an ongoing impact on women’s health, quality of life and ability to carry out the paid and unpaid work that is expected of them. For example, women seem to experience less severe symptoms short-term but suffer worse long-term COVID complications, including depression, reduced physical activity, and deteriorating lifestyle habits. In addition, differences in women’s innate immunity </w:t>
      </w:r>
      <w:proofErr w:type="gramStart"/>
      <w:r w:rsidRPr="00852D02">
        <w:t>lead</w:t>
      </w:r>
      <w:proofErr w:type="gramEnd"/>
      <w:r w:rsidRPr="00852D02">
        <w:t xml:space="preserve"> to women consistently reporting more adverse reactions than males in response to vaccines including COVID-19.</w:t>
      </w:r>
      <w:r w:rsidR="00D64DF6" w:rsidRPr="00852D02">
        <w:t xml:space="preserve"> </w:t>
      </w:r>
    </w:p>
    <w:p w14:paraId="69431320" w14:textId="3285AA18" w:rsidR="00B72815" w:rsidRPr="00852D02" w:rsidRDefault="00B72815" w:rsidP="00B72815">
      <w:pPr>
        <w:pStyle w:val="BodyText"/>
      </w:pPr>
      <w:r w:rsidRPr="00852D02">
        <w:t xml:space="preserve">Gender inequality is an ongoing social, economic, political and </w:t>
      </w:r>
      <w:r w:rsidRPr="00852D02">
        <w:rPr>
          <w:b/>
          <w:bCs/>
          <w:i/>
          <w:iCs/>
        </w:rPr>
        <w:t>health crisis</w:t>
      </w:r>
      <w:r w:rsidRPr="00852D02">
        <w:t>, which has been exacerbated by the pandemic. [our emphasis]</w:t>
      </w:r>
    </w:p>
    <w:p w14:paraId="4D41924F" w14:textId="4595F4BC" w:rsidR="00B72815" w:rsidRPr="00852D02" w:rsidRDefault="00B72815" w:rsidP="00B72815">
      <w:pPr>
        <w:pStyle w:val="BodyText"/>
      </w:pPr>
      <w:r w:rsidRPr="00852D02">
        <w:t xml:space="preserve">One of the biggest impacts on women </w:t>
      </w:r>
      <w:proofErr w:type="gramStart"/>
      <w:r w:rsidRPr="00852D02">
        <w:t>as a result of</w:t>
      </w:r>
      <w:proofErr w:type="gramEnd"/>
      <w:r w:rsidRPr="00852D02">
        <w:t xml:space="preserve"> the pandemic and measures to control it, is increased domestic violence, with an increase in frequency and severity of violence against women and children. So pronounced has that increase been that it has been labelled the ‘shadow pandemic’. “Increases in intimate partner </w:t>
      </w:r>
      <w:r w:rsidRPr="00852D02">
        <w:rPr>
          <w:rFonts w:eastAsiaTheme="majorEastAsia"/>
        </w:rPr>
        <w:t>violence</w:t>
      </w:r>
      <w:r w:rsidRPr="00852D02">
        <w:t xml:space="preserve"> were described as rising in parallel with the lock-down, with the police and Women’s Refuge reporting surges in family harm related calls.”</w:t>
      </w:r>
    </w:p>
    <w:p w14:paraId="6796B8D0" w14:textId="7378D57D" w:rsidR="00B72815" w:rsidRDefault="00B72815" w:rsidP="00B72815">
      <w:pPr>
        <w:pStyle w:val="BodyText"/>
      </w:pPr>
      <w:r>
        <w:lastRenderedPageBreak/>
        <w:t xml:space="preserve">Research in Aotearoa New Zealand has found intimate domestic violence/intimate partner violence (IPV) is significantly associated with current health effects, </w:t>
      </w:r>
      <w:proofErr w:type="gramStart"/>
      <w:r>
        <w:t>including:</w:t>
      </w:r>
      <w:proofErr w:type="gramEnd"/>
      <w:r>
        <w:t xml:space="preserve"> self-perceived poor health, physical health problems (e.g. pain), and mental health problems (e.g. suicide attempts). In an Aotearoa New Zealand 2023 study of 1431 women “closely comparable with New Zealand’s ethnic and area deprivation composition”, exposure to “any IPV and specific IPV types was significantly associated with increased likelihood of reporting adverse health outcomes.”</w:t>
      </w:r>
      <w:r w:rsidRPr="003900E4">
        <w:t xml:space="preserve"> </w:t>
      </w:r>
    </w:p>
    <w:p w14:paraId="1C3CF4C8" w14:textId="7DA30BFA" w:rsidR="00B72815" w:rsidRDefault="00B72815" w:rsidP="00B72815">
      <w:pPr>
        <w:pStyle w:val="BodyText"/>
      </w:pPr>
      <w:r>
        <w:t>Additionally, “people with disabilities report experiencing a significantly high lifetime prevalence of intimate partner violence compared with people without disabilities.”</w:t>
      </w:r>
    </w:p>
    <w:p w14:paraId="698761BD" w14:textId="730F617D" w:rsidR="00B72815" w:rsidRDefault="00B72815" w:rsidP="00B72815">
      <w:pPr>
        <w:pStyle w:val="BodyText"/>
      </w:pPr>
      <w:r w:rsidRPr="005858C6">
        <w:t xml:space="preserve">In 2020, </w:t>
      </w:r>
      <w:r>
        <w:t xml:space="preserve">our </w:t>
      </w:r>
      <w:proofErr w:type="gramStart"/>
      <w:r>
        <w:t>G</w:t>
      </w:r>
      <w:r w:rsidRPr="005858C6">
        <w:t>overnment</w:t>
      </w:r>
      <w:proofErr w:type="gramEnd"/>
      <w:r w:rsidRPr="005858C6">
        <w:t xml:space="preserve"> received advice from the Ministry for Women that support and recovery measures to date had not been designed with gender equity in mind, and ran the risk of exacerbating </w:t>
      </w:r>
      <w:r>
        <w:t>Covid-19</w:t>
      </w:r>
      <w:r w:rsidRPr="005858C6">
        <w:t xml:space="preserve"> impacts, particularly for Māori and </w:t>
      </w:r>
      <w:bookmarkStart w:id="13" w:name="_Hlk130112487"/>
      <w:proofErr w:type="spellStart"/>
      <w:r w:rsidRPr="005858C6">
        <w:t>Pāsifika</w:t>
      </w:r>
      <w:bookmarkEnd w:id="13"/>
      <w:proofErr w:type="spellEnd"/>
      <w:r w:rsidRPr="005858C6">
        <w:t xml:space="preserve"> women. It advised government to develop a cross-government gender-C</w:t>
      </w:r>
      <w:r>
        <w:t>ovid</w:t>
      </w:r>
      <w:r w:rsidRPr="005858C6">
        <w:t xml:space="preserve"> response, including meaningful specific actions to mitigate the disproportionate effects on women in </w:t>
      </w:r>
      <w:r>
        <w:t xml:space="preserve">Aotearoa </w:t>
      </w:r>
      <w:r w:rsidRPr="005858C6">
        <w:t>New Zealand</w:t>
      </w:r>
      <w:r>
        <w:t xml:space="preserve">. </w:t>
      </w:r>
    </w:p>
    <w:p w14:paraId="09BD7BA3" w14:textId="77777777" w:rsidR="00B72815" w:rsidRDefault="00B72815" w:rsidP="00B72815">
      <w:pPr>
        <w:pStyle w:val="BodyText"/>
      </w:pPr>
      <w:r>
        <w:t>I</w:t>
      </w:r>
      <w:r w:rsidRPr="005858C6">
        <w:t xml:space="preserve">t is </w:t>
      </w:r>
      <w:proofErr w:type="gramStart"/>
      <w:r w:rsidRPr="005858C6">
        <w:t>absolutely vital</w:t>
      </w:r>
      <w:proofErr w:type="gramEnd"/>
      <w:r w:rsidRPr="005858C6">
        <w:t xml:space="preserve"> that a gendered response to future pandemics </w:t>
      </w:r>
      <w:r>
        <w:t>is</w:t>
      </w:r>
      <w:r w:rsidRPr="005858C6">
        <w:t xml:space="preserve"> developed before we face the next one.</w:t>
      </w:r>
    </w:p>
    <w:p w14:paraId="453CC5E0" w14:textId="77777777" w:rsidR="00B72815" w:rsidRDefault="00B72815" w:rsidP="00B72815">
      <w:pPr>
        <w:pStyle w:val="Heading2"/>
      </w:pPr>
      <w:bookmarkStart w:id="14" w:name="_Toc130576240"/>
      <w:r>
        <w:t>Climate Change and Extreme Weather Events</w:t>
      </w:r>
      <w:bookmarkEnd w:id="14"/>
    </w:p>
    <w:p w14:paraId="477FFBEA" w14:textId="77777777" w:rsidR="00B72815" w:rsidRDefault="00B72815" w:rsidP="00B72815">
      <w:pPr>
        <w:pStyle w:val="BodyText"/>
        <w:spacing w:after="120"/>
        <w:rPr>
          <w:rFonts w:cstheme="minorHAnsi"/>
        </w:rPr>
      </w:pPr>
      <w:r w:rsidRPr="005A2724">
        <w:rPr>
          <w:rFonts w:cstheme="minorHAnsi"/>
        </w:rPr>
        <w:t xml:space="preserve">It is clear that as climate </w:t>
      </w:r>
      <w:proofErr w:type="gramStart"/>
      <w:r w:rsidRPr="005A2724">
        <w:rPr>
          <w:rFonts w:cstheme="minorHAnsi"/>
        </w:rPr>
        <w:t>changes, and</w:t>
      </w:r>
      <w:proofErr w:type="gramEnd"/>
      <w:r w:rsidRPr="005A2724">
        <w:rPr>
          <w:rFonts w:cstheme="minorHAnsi"/>
        </w:rPr>
        <w:t xml:space="preserve"> accepting that even addressing this now will take decades to see effective and positive change, we must consider human health in all </w:t>
      </w:r>
      <w:r>
        <w:rPr>
          <w:rFonts w:cstheme="minorHAnsi"/>
        </w:rPr>
        <w:t>our environmental and climate change decisions</w:t>
      </w:r>
      <w:r w:rsidRPr="005A2724">
        <w:rPr>
          <w:rFonts w:cstheme="minorHAnsi"/>
        </w:rPr>
        <w:t>.</w:t>
      </w:r>
      <w:r>
        <w:rPr>
          <w:rFonts w:cstheme="minorHAnsi"/>
        </w:rPr>
        <w:t xml:space="preserve"> </w:t>
      </w:r>
    </w:p>
    <w:p w14:paraId="13F01C2C" w14:textId="301BF95D" w:rsidR="00B72815" w:rsidRDefault="00B72815" w:rsidP="00B72815">
      <w:pPr>
        <w:pStyle w:val="BodyText"/>
      </w:pPr>
      <w:r>
        <w:lastRenderedPageBreak/>
        <w:t xml:space="preserve">Women and girls often face disproportionately high health risks from the impacts of climate change when compared to men and boys. Globally women are more affected by health impacts associated with climate change than </w:t>
      </w:r>
      <w:proofErr w:type="gramStart"/>
      <w:r>
        <w:t>men, and</w:t>
      </w:r>
      <w:proofErr w:type="gramEnd"/>
      <w:r>
        <w:t xml:space="preserve"> are more likely to die or suffer injury from extreme weather particularly cyclones and heatwaves; experience food insecurity; and suffer poor mental health and partner violence. </w:t>
      </w:r>
    </w:p>
    <w:p w14:paraId="7D75877E" w14:textId="759C4A95" w:rsidR="00B72815" w:rsidRDefault="00B72815" w:rsidP="00B72815">
      <w:pPr>
        <w:pStyle w:val="BodyText"/>
        <w:rPr>
          <w:vertAlign w:val="superscript"/>
        </w:rPr>
      </w:pPr>
      <w:r>
        <w:t>Pregnant people are particularly vulnerable: “climate change might also affect women's ability to seek reproductive and maternity health services, and pregnancy-related outcomes can be affected by changes in infectious diseases, temperature, and nutritional status.”</w:t>
      </w:r>
      <w:r w:rsidR="00D64DF6">
        <w:rPr>
          <w:vertAlign w:val="superscript"/>
        </w:rPr>
        <w:t xml:space="preserve"> </w:t>
      </w:r>
    </w:p>
    <w:p w14:paraId="20DBDFDE" w14:textId="77777777" w:rsidR="00B72815" w:rsidRDefault="00B72815" w:rsidP="00B72815">
      <w:pPr>
        <w:pStyle w:val="BodyText"/>
        <w:spacing w:after="120"/>
        <w:rPr>
          <w:rFonts w:cstheme="minorHAnsi"/>
        </w:rPr>
      </w:pPr>
      <w:r>
        <w:rPr>
          <w:rFonts w:cstheme="minorHAnsi"/>
        </w:rPr>
        <w:t xml:space="preserve">While many of the worst effects of climate change will have the greatest impact on under-developed and impoverished nations, and therefore have the greatest gendered impact on women and girls of such nations, Aotearoa New Zealand is far from immune to the disproportionate impact on women’s health. </w:t>
      </w:r>
    </w:p>
    <w:p w14:paraId="2E27FB20" w14:textId="0044DE8C" w:rsidR="00B72815" w:rsidRDefault="00B72815" w:rsidP="00B72815">
      <w:pPr>
        <w:pStyle w:val="BodyText"/>
        <w:spacing w:after="120"/>
        <w:rPr>
          <w:vertAlign w:val="superscript"/>
        </w:rPr>
      </w:pPr>
      <w:r>
        <w:rPr>
          <w:rFonts w:cstheme="minorHAnsi"/>
        </w:rPr>
        <w:t xml:space="preserve">As with the Covid-19 pandemic, the severe weather events that devastated parts of New Zealand in February 2023, particularly cyclone Gabrielle, resulted in an increase in reports of domestic violence. This is not a new phenomenon; the 2004 Manawatu floods also resulted in </w:t>
      </w:r>
      <w:r>
        <w:t>increases in domestic violence.</w:t>
      </w:r>
    </w:p>
    <w:p w14:paraId="4ED9CC4C" w14:textId="2841807A" w:rsidR="00B72815" w:rsidRDefault="00B72815" w:rsidP="00B72815">
      <w:pPr>
        <w:pStyle w:val="BodyText"/>
        <w:spacing w:after="120"/>
      </w:pPr>
      <w:r>
        <w:t xml:space="preserve">Food security is a world-wide issue, one that many New Zealanders might consider to be the least of our country’s climate change problems. Again, however, the devastation of cyclone Gabrielle has had a significant impact on the availability and cost of fruit and vegetables adding to the already soaring cost of food over the last year. With the destruction of orchards and farms in the Hawkes Bay, we can expect fruit costs, at least, </w:t>
      </w:r>
      <w:r>
        <w:lastRenderedPageBreak/>
        <w:t>to remain high for several years while these horticultural areas are re-established.</w:t>
      </w:r>
    </w:p>
    <w:p w14:paraId="147F5900" w14:textId="73EA7E31" w:rsidR="00B72815" w:rsidRDefault="00B72815" w:rsidP="00B72815">
      <w:pPr>
        <w:pStyle w:val="BodyText"/>
      </w:pPr>
      <w:r w:rsidRPr="00D838F3">
        <w:t xml:space="preserve">Reductions in global food availability, and fruit and vegetable </w:t>
      </w:r>
      <w:proofErr w:type="gramStart"/>
      <w:r w:rsidRPr="00D838F3">
        <w:t>consumption in particular, are</w:t>
      </w:r>
      <w:proofErr w:type="gramEnd"/>
      <w:r w:rsidRPr="00D838F3">
        <w:t xml:space="preserve"> estimated to result in 500,000 climate-related deaths worldwide by 2050. In Aotearoa New Zealand reduced availability and high cost may not result in direct deaths, but in significantly reduced health measures and an increase in diet-related conditions</w:t>
      </w:r>
      <w:r>
        <w:t>,</w:t>
      </w:r>
      <w:r w:rsidRPr="00D838F3">
        <w:t xml:space="preserve"> such as cardiovascular disease, diabetes and cancer.</w:t>
      </w:r>
      <w:r>
        <w:t xml:space="preserve"> With the existing cost of living crisis already putting pressure on those living in areas of higher deprivation, reduced availability of healthy food will disproportionately affect those with lower incomes and living in poverty.</w:t>
      </w:r>
    </w:p>
    <w:p w14:paraId="4ABA33D5" w14:textId="77777777" w:rsidR="00D64DF6" w:rsidRDefault="00B72815" w:rsidP="00B72815">
      <w:pPr>
        <w:pStyle w:val="BodyText"/>
        <w:spacing w:after="360"/>
      </w:pPr>
      <w:r w:rsidRPr="00D715E5">
        <w:t xml:space="preserve">In their report </w:t>
      </w:r>
      <w:r w:rsidRPr="003F7309">
        <w:rPr>
          <w:i/>
          <w:iCs/>
        </w:rPr>
        <w:t>Human Health Impacts of Climate Change for New Zealand</w:t>
      </w:r>
      <w:r w:rsidRPr="00D715E5">
        <w:t xml:space="preserve">, the Royal Society Te </w:t>
      </w:r>
      <w:proofErr w:type="spellStart"/>
      <w:r w:rsidRPr="00D715E5">
        <w:t>Apārangi</w:t>
      </w:r>
      <w:proofErr w:type="spellEnd"/>
      <w:r w:rsidRPr="00D715E5">
        <w:t xml:space="preserve"> </w:t>
      </w:r>
      <w:r>
        <w:t>s</w:t>
      </w:r>
      <w:r w:rsidRPr="00D715E5">
        <w:t>tate that “the effects of climate change will not be spread evenly across the population, exacerbating existing socioeconomic and ethnic health inequalities,” but that the “adaptability and resilience of health and welfare systems are important factors in minimising the effects of climate change on human health.”</w:t>
      </w:r>
    </w:p>
    <w:p w14:paraId="673F4CE7" w14:textId="77777777" w:rsidR="00D64DF6" w:rsidRPr="00D64DF6" w:rsidRDefault="00D64DF6" w:rsidP="00B72815">
      <w:pPr>
        <w:pStyle w:val="BodyText"/>
        <w:spacing w:after="360"/>
        <w:rPr>
          <w:b/>
          <w:bCs/>
          <w:sz w:val="44"/>
          <w:szCs w:val="44"/>
        </w:rPr>
      </w:pPr>
      <w:r w:rsidRPr="00D64DF6">
        <w:rPr>
          <w:b/>
          <w:bCs/>
          <w:sz w:val="44"/>
          <w:szCs w:val="44"/>
        </w:rPr>
        <w:t>References</w:t>
      </w:r>
    </w:p>
    <w:p w14:paraId="292369AC" w14:textId="77777777" w:rsidR="00D64DF6" w:rsidRPr="00D64DF6" w:rsidRDefault="00D64DF6" w:rsidP="00D64DF6">
      <w:pPr>
        <w:pStyle w:val="Reference"/>
        <w:ind w:left="616" w:hanging="616"/>
        <w:rPr>
          <w:rFonts w:cstheme="minorHAnsi"/>
          <w:sz w:val="36"/>
          <w:szCs w:val="36"/>
        </w:rPr>
      </w:pPr>
      <w:r w:rsidRPr="00D64DF6">
        <w:rPr>
          <w:rFonts w:cstheme="minorHAnsi"/>
          <w:sz w:val="36"/>
          <w:szCs w:val="36"/>
        </w:rPr>
        <w:t>1</w:t>
      </w:r>
      <w:r w:rsidRPr="00D64DF6">
        <w:rPr>
          <w:rFonts w:cstheme="minorHAnsi"/>
          <w:sz w:val="36"/>
          <w:szCs w:val="36"/>
        </w:rPr>
        <w:tab/>
        <w:t xml:space="preserve">Bonita R and Beaglehole R, 2014: Women and NCDs: overcoming the neglect, </w:t>
      </w:r>
      <w:r w:rsidRPr="00D64DF6">
        <w:rPr>
          <w:rFonts w:cstheme="minorHAnsi"/>
          <w:i/>
          <w:iCs/>
          <w:sz w:val="36"/>
          <w:szCs w:val="36"/>
        </w:rPr>
        <w:t>Glob Health Action</w:t>
      </w:r>
      <w:r w:rsidRPr="00D64DF6">
        <w:rPr>
          <w:rFonts w:cstheme="minorHAnsi"/>
          <w:sz w:val="36"/>
          <w:szCs w:val="36"/>
        </w:rPr>
        <w:t>; May 5;7:23742.</w:t>
      </w:r>
    </w:p>
    <w:p w14:paraId="4E99AC99" w14:textId="77777777" w:rsidR="00D64DF6" w:rsidRPr="00D64DF6" w:rsidRDefault="00D64DF6" w:rsidP="00D64DF6">
      <w:pPr>
        <w:pStyle w:val="Reference"/>
        <w:ind w:left="616" w:hanging="616"/>
        <w:rPr>
          <w:rFonts w:cstheme="minorHAnsi"/>
          <w:sz w:val="36"/>
          <w:szCs w:val="36"/>
          <w:lang w:val="en-GB"/>
        </w:rPr>
      </w:pPr>
      <w:r w:rsidRPr="00D64DF6">
        <w:rPr>
          <w:rFonts w:cstheme="minorHAnsi"/>
          <w:sz w:val="36"/>
          <w:szCs w:val="36"/>
        </w:rPr>
        <w:t xml:space="preserve">2 </w:t>
      </w:r>
      <w:r w:rsidRPr="00D64DF6">
        <w:rPr>
          <w:rFonts w:cstheme="minorHAnsi"/>
          <w:sz w:val="36"/>
          <w:szCs w:val="36"/>
        </w:rPr>
        <w:tab/>
      </w:r>
      <w:r w:rsidRPr="00D64DF6">
        <w:rPr>
          <w:rFonts w:cstheme="minorHAnsi"/>
          <w:sz w:val="36"/>
          <w:szCs w:val="36"/>
          <w:lang w:val="en-GB"/>
        </w:rPr>
        <w:t xml:space="preserve">van Daalen K, </w:t>
      </w:r>
      <w:r w:rsidRPr="00D64DF6">
        <w:rPr>
          <w:rFonts w:cstheme="minorHAnsi"/>
          <w:i/>
          <w:iCs/>
          <w:sz w:val="36"/>
          <w:szCs w:val="36"/>
        </w:rPr>
        <w:t>et al</w:t>
      </w:r>
      <w:r w:rsidRPr="00D64DF6">
        <w:rPr>
          <w:rFonts w:cstheme="minorHAnsi"/>
          <w:sz w:val="36"/>
          <w:szCs w:val="36"/>
          <w:lang w:val="en-GB"/>
        </w:rPr>
        <w:t xml:space="preserve">., 2020: Climate change and gender-based health disparities, </w:t>
      </w:r>
      <w:r w:rsidRPr="00D64DF6">
        <w:rPr>
          <w:rFonts w:cstheme="minorHAnsi"/>
          <w:i/>
          <w:iCs/>
          <w:sz w:val="36"/>
          <w:szCs w:val="36"/>
        </w:rPr>
        <w:t>Lancet Planet Health</w:t>
      </w:r>
      <w:r w:rsidRPr="00D64DF6">
        <w:rPr>
          <w:rFonts w:cstheme="minorHAnsi"/>
          <w:sz w:val="36"/>
          <w:szCs w:val="36"/>
          <w:lang w:val="en-GB"/>
        </w:rPr>
        <w:t>, Feb;4(2</w:t>
      </w:r>
      <w:proofErr w:type="gramStart"/>
      <w:r w:rsidRPr="00D64DF6">
        <w:rPr>
          <w:rFonts w:cstheme="minorHAnsi"/>
          <w:sz w:val="36"/>
          <w:szCs w:val="36"/>
          <w:lang w:val="en-GB"/>
        </w:rPr>
        <w:t>):e</w:t>
      </w:r>
      <w:proofErr w:type="gramEnd"/>
      <w:r w:rsidRPr="00D64DF6">
        <w:rPr>
          <w:rFonts w:cstheme="minorHAnsi"/>
          <w:sz w:val="36"/>
          <w:szCs w:val="36"/>
          <w:lang w:val="en-GB"/>
        </w:rPr>
        <w:t>44-e45.</w:t>
      </w:r>
    </w:p>
    <w:p w14:paraId="787F3D80" w14:textId="77777777" w:rsidR="00D64DF6" w:rsidRPr="00D64DF6" w:rsidRDefault="00D64DF6" w:rsidP="00D64DF6">
      <w:pPr>
        <w:pStyle w:val="Reference"/>
        <w:ind w:left="616" w:hanging="616"/>
        <w:rPr>
          <w:rFonts w:cstheme="minorHAnsi"/>
          <w:sz w:val="36"/>
          <w:szCs w:val="36"/>
          <w:lang w:val="en-GB"/>
        </w:rPr>
      </w:pPr>
      <w:r w:rsidRPr="00D64DF6">
        <w:rPr>
          <w:rFonts w:cstheme="minorHAnsi"/>
          <w:sz w:val="36"/>
          <w:szCs w:val="36"/>
          <w:lang w:val="en-GB"/>
        </w:rPr>
        <w:t>3</w:t>
      </w:r>
      <w:r w:rsidRPr="00D64DF6">
        <w:rPr>
          <w:rFonts w:cstheme="minorHAnsi"/>
          <w:sz w:val="36"/>
          <w:szCs w:val="36"/>
          <w:lang w:val="en-GB"/>
        </w:rPr>
        <w:tab/>
        <w:t xml:space="preserve">Lieberman Lawry L, </w:t>
      </w:r>
      <w:r w:rsidRPr="00D64DF6">
        <w:rPr>
          <w:rFonts w:cstheme="minorHAnsi"/>
          <w:i/>
          <w:iCs/>
          <w:sz w:val="36"/>
          <w:szCs w:val="36"/>
        </w:rPr>
        <w:t>et al</w:t>
      </w:r>
      <w:r w:rsidRPr="00D64DF6">
        <w:rPr>
          <w:rFonts w:cstheme="minorHAnsi"/>
          <w:sz w:val="36"/>
          <w:szCs w:val="36"/>
          <w:lang w:val="en-GB"/>
        </w:rPr>
        <w:t xml:space="preserve">., 2023: Overlooked sex and gender aspects of emerging infectious disease outbreaks: Lessons learned from COVID-19 to move towards health equity in </w:t>
      </w:r>
      <w:r w:rsidRPr="00D64DF6">
        <w:rPr>
          <w:rFonts w:cstheme="minorHAnsi"/>
          <w:sz w:val="36"/>
          <w:szCs w:val="36"/>
          <w:lang w:val="en-GB"/>
        </w:rPr>
        <w:lastRenderedPageBreak/>
        <w:t xml:space="preserve">pandemic response, </w:t>
      </w:r>
      <w:r w:rsidRPr="00D64DF6">
        <w:rPr>
          <w:rFonts w:cstheme="minorHAnsi"/>
          <w:i/>
          <w:iCs/>
          <w:sz w:val="36"/>
          <w:szCs w:val="36"/>
        </w:rPr>
        <w:t>Front Glob Womens Health</w:t>
      </w:r>
      <w:r w:rsidRPr="00D64DF6">
        <w:rPr>
          <w:rFonts w:cstheme="minorHAnsi"/>
          <w:sz w:val="36"/>
          <w:szCs w:val="36"/>
          <w:lang w:val="en-GB"/>
        </w:rPr>
        <w:t>; 2023 Feb 20;4:1141064.</w:t>
      </w:r>
    </w:p>
    <w:p w14:paraId="4467421F" w14:textId="77777777" w:rsidR="00D64DF6" w:rsidRPr="00D64DF6" w:rsidRDefault="00D64DF6" w:rsidP="00D64DF6">
      <w:pPr>
        <w:pStyle w:val="Reference"/>
        <w:ind w:left="616" w:hanging="616"/>
        <w:rPr>
          <w:rFonts w:cstheme="minorHAnsi"/>
          <w:sz w:val="36"/>
          <w:szCs w:val="36"/>
          <w:lang w:val="en-GB"/>
        </w:rPr>
      </w:pPr>
      <w:r w:rsidRPr="00D64DF6">
        <w:rPr>
          <w:rFonts w:cstheme="minorHAnsi"/>
          <w:sz w:val="36"/>
          <w:szCs w:val="36"/>
          <w:lang w:val="en-GB"/>
        </w:rPr>
        <w:t>4</w:t>
      </w:r>
      <w:r w:rsidRPr="00D64DF6">
        <w:rPr>
          <w:rFonts w:cstheme="minorHAnsi"/>
          <w:sz w:val="36"/>
          <w:szCs w:val="36"/>
          <w:lang w:val="en-GB"/>
        </w:rPr>
        <w:tab/>
        <w:t xml:space="preserve">Palmer de Preez K, 2021: </w:t>
      </w:r>
      <w:r w:rsidRPr="00D64DF6">
        <w:rPr>
          <w:rStyle w:val="Hyperlink"/>
          <w:rFonts w:asciiTheme="minorHAnsi" w:eastAsiaTheme="majorEastAsia" w:hAnsiTheme="minorHAnsi" w:cstheme="minorHAnsi"/>
          <w:sz w:val="36"/>
          <w:szCs w:val="36"/>
          <w:lang w:val="en-GB"/>
        </w:rPr>
        <w:t xml:space="preserve">COVID and women’s wellbeing: </w:t>
      </w:r>
      <w:proofErr w:type="gramStart"/>
      <w:r w:rsidRPr="00D64DF6">
        <w:rPr>
          <w:rStyle w:val="Hyperlink"/>
          <w:rFonts w:asciiTheme="minorHAnsi" w:eastAsiaTheme="majorEastAsia" w:hAnsiTheme="minorHAnsi" w:cstheme="minorHAnsi"/>
          <w:sz w:val="36"/>
          <w:szCs w:val="36"/>
          <w:lang w:val="en-GB"/>
        </w:rPr>
        <w:t>New</w:t>
      </w:r>
      <w:proofErr w:type="gramEnd"/>
      <w:r w:rsidRPr="00D64DF6">
        <w:rPr>
          <w:rStyle w:val="Hyperlink"/>
          <w:rFonts w:asciiTheme="minorHAnsi" w:eastAsiaTheme="majorEastAsia" w:hAnsiTheme="minorHAnsi" w:cstheme="minorHAnsi"/>
          <w:sz w:val="36"/>
          <w:szCs w:val="36"/>
          <w:lang w:val="en-GB"/>
        </w:rPr>
        <w:t xml:space="preserve"> feminist analyses</w:t>
      </w:r>
      <w:r w:rsidRPr="00D64DF6">
        <w:rPr>
          <w:rFonts w:cstheme="minorHAnsi"/>
          <w:sz w:val="36"/>
          <w:szCs w:val="36"/>
          <w:lang w:val="en-GB"/>
        </w:rPr>
        <w:t xml:space="preserve">, </w:t>
      </w:r>
      <w:r w:rsidRPr="00D64DF6">
        <w:rPr>
          <w:rFonts w:cstheme="minorHAnsi"/>
          <w:i/>
          <w:iCs/>
          <w:sz w:val="36"/>
          <w:szCs w:val="36"/>
        </w:rPr>
        <w:t>AWHC Newsletter</w:t>
      </w:r>
      <w:r w:rsidRPr="00D64DF6">
        <w:rPr>
          <w:rFonts w:cstheme="minorHAnsi"/>
          <w:sz w:val="36"/>
          <w:szCs w:val="36"/>
          <w:lang w:val="en-GB"/>
        </w:rPr>
        <w:t>, October-November 2021.</w:t>
      </w:r>
    </w:p>
    <w:p w14:paraId="48608B62" w14:textId="77777777" w:rsidR="00D64DF6" w:rsidRPr="00D64DF6" w:rsidRDefault="00D64DF6" w:rsidP="00D64DF6">
      <w:pPr>
        <w:pStyle w:val="Reference"/>
        <w:ind w:left="616" w:hanging="616"/>
        <w:rPr>
          <w:rFonts w:cstheme="minorHAnsi"/>
          <w:spacing w:val="-10"/>
          <w:sz w:val="36"/>
          <w:szCs w:val="36"/>
        </w:rPr>
      </w:pPr>
      <w:r w:rsidRPr="00D64DF6">
        <w:rPr>
          <w:rFonts w:cstheme="minorHAnsi"/>
          <w:sz w:val="36"/>
          <w:szCs w:val="36"/>
          <w:lang w:val="en-GB"/>
        </w:rPr>
        <w:t>5</w:t>
      </w:r>
      <w:r w:rsidRPr="00D64DF6">
        <w:rPr>
          <w:rFonts w:cstheme="minorHAnsi"/>
          <w:sz w:val="36"/>
          <w:szCs w:val="36"/>
          <w:lang w:val="en-GB"/>
        </w:rPr>
        <w:tab/>
      </w:r>
      <w:r w:rsidRPr="00D64DF6">
        <w:rPr>
          <w:rFonts w:cstheme="minorHAnsi"/>
          <w:spacing w:val="-10"/>
          <w:sz w:val="36"/>
          <w:szCs w:val="36"/>
          <w:lang w:val="en-GB"/>
        </w:rPr>
        <w:t xml:space="preserve">Cooney C, 2020: </w:t>
      </w:r>
      <w:r w:rsidRPr="00D64DF6">
        <w:rPr>
          <w:rStyle w:val="Hyperlink"/>
          <w:rFonts w:asciiTheme="minorHAnsi" w:eastAsiaTheme="majorEastAsia" w:hAnsiTheme="minorHAnsi" w:cstheme="minorHAnsi"/>
          <w:spacing w:val="-10"/>
          <w:sz w:val="36"/>
          <w:szCs w:val="36"/>
          <w:lang w:val="en-GB"/>
        </w:rPr>
        <w:t>The Parents Are Not All Right</w:t>
      </w:r>
      <w:r w:rsidRPr="00D64DF6">
        <w:rPr>
          <w:rFonts w:cstheme="minorHAnsi"/>
          <w:spacing w:val="-10"/>
          <w:sz w:val="36"/>
          <w:szCs w:val="36"/>
        </w:rPr>
        <w:t xml:space="preserve">. </w:t>
      </w:r>
      <w:r w:rsidRPr="00D64DF6">
        <w:rPr>
          <w:rFonts w:cstheme="minorHAnsi"/>
          <w:i/>
          <w:iCs/>
          <w:spacing w:val="-10"/>
          <w:sz w:val="36"/>
          <w:szCs w:val="36"/>
        </w:rPr>
        <w:t>GEN</w:t>
      </w:r>
      <w:r w:rsidRPr="00D64DF6">
        <w:rPr>
          <w:rFonts w:cstheme="minorHAnsi"/>
          <w:spacing w:val="-10"/>
          <w:sz w:val="36"/>
          <w:szCs w:val="36"/>
        </w:rPr>
        <w:t>, 6 April 2020.</w:t>
      </w:r>
    </w:p>
    <w:p w14:paraId="3AD00C90" w14:textId="77777777" w:rsidR="00D64DF6" w:rsidRPr="00D64DF6" w:rsidRDefault="00D64DF6" w:rsidP="00D64DF6">
      <w:pPr>
        <w:pStyle w:val="Reference"/>
        <w:ind w:left="616" w:hanging="616"/>
        <w:rPr>
          <w:rFonts w:cstheme="minorHAnsi"/>
          <w:sz w:val="36"/>
          <w:szCs w:val="36"/>
          <w:lang w:val="en-GB"/>
        </w:rPr>
      </w:pPr>
      <w:r w:rsidRPr="00D64DF6">
        <w:rPr>
          <w:rFonts w:cstheme="minorHAnsi"/>
          <w:sz w:val="36"/>
          <w:szCs w:val="36"/>
        </w:rPr>
        <w:t>6</w:t>
      </w:r>
      <w:r w:rsidRPr="00D64DF6">
        <w:rPr>
          <w:rFonts w:cstheme="minorHAnsi"/>
          <w:sz w:val="36"/>
          <w:szCs w:val="36"/>
        </w:rPr>
        <w:tab/>
        <w:t xml:space="preserve">Jenkins F, 2020: </w:t>
      </w:r>
      <w:r w:rsidRPr="00D64DF6">
        <w:rPr>
          <w:rStyle w:val="Hyperlink"/>
          <w:rFonts w:asciiTheme="minorHAnsi" w:eastAsiaTheme="majorEastAsia" w:hAnsiTheme="minorHAnsi" w:cstheme="minorHAnsi"/>
          <w:sz w:val="36"/>
          <w:szCs w:val="36"/>
        </w:rPr>
        <w:t>Did our employers just requisition our homes?</w:t>
      </w:r>
      <w:r w:rsidRPr="00D64DF6">
        <w:rPr>
          <w:rFonts w:cstheme="minorHAnsi"/>
          <w:sz w:val="36"/>
          <w:szCs w:val="36"/>
        </w:rPr>
        <w:t xml:space="preserve"> </w:t>
      </w:r>
      <w:r w:rsidRPr="00D64DF6">
        <w:rPr>
          <w:rFonts w:cstheme="minorHAnsi"/>
          <w:i/>
          <w:iCs/>
          <w:sz w:val="36"/>
          <w:szCs w:val="36"/>
        </w:rPr>
        <w:t>Canberra Times</w:t>
      </w:r>
      <w:r w:rsidRPr="00D64DF6">
        <w:rPr>
          <w:rFonts w:cstheme="minorHAnsi"/>
          <w:sz w:val="36"/>
          <w:szCs w:val="36"/>
          <w:lang w:val="en-GB"/>
        </w:rPr>
        <w:t>, 4 April 2020.</w:t>
      </w:r>
    </w:p>
    <w:p w14:paraId="5A7EC19C" w14:textId="77777777" w:rsidR="00D64DF6" w:rsidRPr="00D64DF6" w:rsidRDefault="00D64DF6" w:rsidP="00D64DF6">
      <w:pPr>
        <w:pStyle w:val="Reference"/>
        <w:ind w:left="616" w:hanging="616"/>
        <w:rPr>
          <w:rFonts w:cstheme="minorHAnsi"/>
          <w:sz w:val="36"/>
          <w:szCs w:val="36"/>
          <w:lang w:val="en-GB"/>
        </w:rPr>
      </w:pPr>
      <w:r w:rsidRPr="00D64DF6">
        <w:rPr>
          <w:rFonts w:cstheme="minorHAnsi"/>
          <w:sz w:val="36"/>
          <w:szCs w:val="36"/>
          <w:lang w:val="en-GB"/>
        </w:rPr>
        <w:t>7</w:t>
      </w:r>
      <w:r w:rsidRPr="00D64DF6">
        <w:rPr>
          <w:rFonts w:cstheme="minorHAnsi"/>
          <w:sz w:val="36"/>
          <w:szCs w:val="36"/>
          <w:lang w:val="en-GB"/>
        </w:rPr>
        <w:tab/>
        <w:t xml:space="preserve">Smith J., </w:t>
      </w:r>
      <w:r w:rsidRPr="00D64DF6">
        <w:rPr>
          <w:rFonts w:cstheme="minorHAnsi"/>
          <w:i/>
          <w:iCs/>
          <w:sz w:val="36"/>
          <w:szCs w:val="36"/>
        </w:rPr>
        <w:t>et al</w:t>
      </w:r>
      <w:r w:rsidRPr="00D64DF6">
        <w:rPr>
          <w:rFonts w:cstheme="minorHAnsi"/>
          <w:sz w:val="36"/>
          <w:szCs w:val="36"/>
          <w:lang w:val="en-GB"/>
        </w:rPr>
        <w:t xml:space="preserve">., 2021: More than a public health crisis: a feminist political economic analysis of COVID-19. </w:t>
      </w:r>
      <w:r w:rsidRPr="00D64DF6">
        <w:rPr>
          <w:rFonts w:cstheme="minorHAnsi"/>
          <w:i/>
          <w:iCs/>
          <w:sz w:val="36"/>
          <w:szCs w:val="36"/>
        </w:rPr>
        <w:t>Global Public Health</w:t>
      </w:r>
      <w:r w:rsidRPr="00D64DF6">
        <w:rPr>
          <w:rFonts w:cstheme="minorHAnsi"/>
          <w:sz w:val="36"/>
          <w:szCs w:val="36"/>
          <w:lang w:val="en-GB"/>
        </w:rPr>
        <w:t>, Aug-Sep;16(8-9):1364-1380.</w:t>
      </w:r>
    </w:p>
    <w:p w14:paraId="4BD65A95" w14:textId="77777777" w:rsidR="00D64DF6" w:rsidRPr="00D64DF6" w:rsidRDefault="00D64DF6" w:rsidP="00D64DF6">
      <w:pPr>
        <w:pStyle w:val="Reference"/>
        <w:ind w:left="616" w:hanging="616"/>
        <w:rPr>
          <w:rFonts w:cstheme="minorHAnsi"/>
          <w:sz w:val="36"/>
          <w:szCs w:val="36"/>
          <w:lang w:val="en-GB"/>
        </w:rPr>
      </w:pPr>
      <w:r w:rsidRPr="00D64DF6">
        <w:rPr>
          <w:rFonts w:cstheme="minorHAnsi"/>
          <w:sz w:val="36"/>
          <w:szCs w:val="36"/>
          <w:lang w:val="en-GB"/>
        </w:rPr>
        <w:t>8</w:t>
      </w:r>
      <w:r w:rsidRPr="00D64DF6">
        <w:rPr>
          <w:rFonts w:cstheme="minorHAnsi"/>
          <w:sz w:val="36"/>
          <w:szCs w:val="36"/>
          <w:lang w:val="en-GB"/>
        </w:rPr>
        <w:tab/>
        <w:t xml:space="preserve">WGH, 2023: </w:t>
      </w:r>
      <w:r w:rsidRPr="00D64DF6">
        <w:rPr>
          <w:rFonts w:cstheme="minorHAnsi"/>
          <w:i/>
          <w:iCs/>
          <w:sz w:val="36"/>
          <w:szCs w:val="36"/>
        </w:rPr>
        <w:t>Policy Brief: The State of Women and Leadership in Global Health: The XX Paradox</w:t>
      </w:r>
      <w:r w:rsidRPr="00D64DF6">
        <w:rPr>
          <w:rFonts w:cstheme="minorHAnsi"/>
          <w:sz w:val="36"/>
          <w:szCs w:val="36"/>
          <w:lang w:val="en-GB"/>
        </w:rPr>
        <w:t>, Women in Global Health.</w:t>
      </w:r>
    </w:p>
    <w:p w14:paraId="795DE8F5" w14:textId="77777777" w:rsidR="00D64DF6" w:rsidRPr="00D64DF6" w:rsidRDefault="00D64DF6" w:rsidP="00D64DF6">
      <w:pPr>
        <w:pStyle w:val="Reference"/>
        <w:ind w:left="616" w:hanging="616"/>
        <w:rPr>
          <w:rFonts w:cstheme="minorHAnsi"/>
          <w:sz w:val="36"/>
          <w:szCs w:val="36"/>
          <w:lang w:val="en-GB"/>
        </w:rPr>
      </w:pPr>
      <w:r w:rsidRPr="00D64DF6">
        <w:rPr>
          <w:rFonts w:cstheme="minorHAnsi"/>
          <w:sz w:val="36"/>
          <w:szCs w:val="36"/>
          <w:lang w:val="en-GB"/>
        </w:rPr>
        <w:t>9</w:t>
      </w:r>
      <w:r w:rsidRPr="00D64DF6">
        <w:rPr>
          <w:rFonts w:cstheme="minorHAnsi"/>
          <w:sz w:val="36"/>
          <w:szCs w:val="36"/>
          <w:lang w:val="en-GB"/>
        </w:rPr>
        <w:tab/>
        <w:t xml:space="preserve">van Daalen KR, </w:t>
      </w:r>
      <w:r w:rsidRPr="00D64DF6">
        <w:rPr>
          <w:rFonts w:cstheme="minorHAnsi"/>
          <w:i/>
          <w:iCs/>
          <w:sz w:val="36"/>
          <w:szCs w:val="36"/>
        </w:rPr>
        <w:t>et al.</w:t>
      </w:r>
      <w:r w:rsidRPr="00D64DF6">
        <w:rPr>
          <w:rFonts w:cstheme="minorHAnsi"/>
          <w:sz w:val="36"/>
          <w:szCs w:val="36"/>
          <w:lang w:val="en-GB"/>
        </w:rPr>
        <w:t xml:space="preserve">, 2020: Symptoms of a broken system: the gender gaps in COVID-19 decision-making. </w:t>
      </w:r>
      <w:r w:rsidRPr="00D64DF6">
        <w:rPr>
          <w:rFonts w:cstheme="minorHAnsi"/>
          <w:i/>
          <w:iCs/>
          <w:sz w:val="36"/>
          <w:szCs w:val="36"/>
        </w:rPr>
        <w:t>BMJ Glob Health</w:t>
      </w:r>
      <w:r w:rsidRPr="00D64DF6">
        <w:rPr>
          <w:rFonts w:cstheme="minorHAnsi"/>
          <w:sz w:val="36"/>
          <w:szCs w:val="36"/>
          <w:lang w:val="en-GB"/>
        </w:rPr>
        <w:t>; 5(10): e003549.</w:t>
      </w:r>
    </w:p>
    <w:p w14:paraId="22BEEF40" w14:textId="77777777" w:rsidR="00D64DF6" w:rsidRPr="00D64DF6" w:rsidRDefault="00D64DF6" w:rsidP="00D64DF6">
      <w:pPr>
        <w:pStyle w:val="Reference"/>
        <w:ind w:left="616" w:hanging="616"/>
        <w:rPr>
          <w:rFonts w:cstheme="minorHAnsi"/>
          <w:sz w:val="36"/>
          <w:szCs w:val="36"/>
          <w:lang w:val="en-GB"/>
        </w:rPr>
      </w:pPr>
      <w:r w:rsidRPr="00D64DF6">
        <w:rPr>
          <w:rFonts w:cstheme="minorHAnsi"/>
          <w:sz w:val="36"/>
          <w:szCs w:val="36"/>
          <w:lang w:val="en-GB"/>
        </w:rPr>
        <w:t>10</w:t>
      </w:r>
      <w:r w:rsidRPr="00D64DF6">
        <w:rPr>
          <w:rFonts w:cstheme="minorHAnsi"/>
          <w:sz w:val="36"/>
          <w:szCs w:val="36"/>
          <w:lang w:val="en-GB"/>
        </w:rPr>
        <w:tab/>
      </w:r>
      <w:proofErr w:type="spellStart"/>
      <w:r w:rsidRPr="00D64DF6">
        <w:rPr>
          <w:rFonts w:cstheme="minorHAnsi"/>
          <w:sz w:val="36"/>
          <w:szCs w:val="36"/>
          <w:lang w:val="en-GB"/>
        </w:rPr>
        <w:t>Bucciarelli</w:t>
      </w:r>
      <w:proofErr w:type="spellEnd"/>
      <w:r w:rsidRPr="00D64DF6">
        <w:rPr>
          <w:rFonts w:cstheme="minorHAnsi"/>
          <w:sz w:val="36"/>
          <w:szCs w:val="36"/>
          <w:lang w:val="en-GB"/>
        </w:rPr>
        <w:t xml:space="preserve">, V., </w:t>
      </w:r>
      <w:r w:rsidRPr="00D64DF6">
        <w:rPr>
          <w:rFonts w:cstheme="minorHAnsi"/>
          <w:i/>
          <w:iCs/>
          <w:sz w:val="36"/>
          <w:szCs w:val="36"/>
        </w:rPr>
        <w:t>et al</w:t>
      </w:r>
      <w:r w:rsidRPr="00D64DF6">
        <w:rPr>
          <w:rFonts w:cstheme="minorHAnsi"/>
          <w:sz w:val="36"/>
          <w:szCs w:val="36"/>
          <w:lang w:val="en-GB"/>
        </w:rPr>
        <w:t xml:space="preserve">., Depression pandemic and cardiovascular risk in the COVID-19 era and long COVID syndrome: gender makes a difference. </w:t>
      </w:r>
      <w:r w:rsidRPr="00D64DF6">
        <w:rPr>
          <w:rFonts w:cstheme="minorHAnsi"/>
          <w:i/>
          <w:iCs/>
          <w:sz w:val="36"/>
          <w:szCs w:val="36"/>
        </w:rPr>
        <w:t>Trends in Cardiovascular Medicine</w:t>
      </w:r>
      <w:r w:rsidRPr="00D64DF6">
        <w:rPr>
          <w:rFonts w:cstheme="minorHAnsi"/>
          <w:sz w:val="36"/>
          <w:szCs w:val="36"/>
          <w:lang w:val="en-GB"/>
        </w:rPr>
        <w:t>, Jan;32(1):12-17.</w:t>
      </w:r>
    </w:p>
    <w:p w14:paraId="11ED21A0" w14:textId="77777777" w:rsidR="00D64DF6" w:rsidRPr="00D64DF6" w:rsidRDefault="00D64DF6" w:rsidP="00D64DF6">
      <w:pPr>
        <w:pStyle w:val="Reference"/>
        <w:ind w:left="616" w:hanging="616"/>
        <w:rPr>
          <w:rFonts w:cstheme="minorHAnsi"/>
          <w:sz w:val="36"/>
          <w:szCs w:val="36"/>
          <w:lang w:val="en-GB"/>
        </w:rPr>
      </w:pPr>
      <w:r w:rsidRPr="00D64DF6">
        <w:rPr>
          <w:rFonts w:cstheme="minorHAnsi"/>
          <w:sz w:val="36"/>
          <w:szCs w:val="36"/>
          <w:lang w:val="en-GB"/>
        </w:rPr>
        <w:t>11</w:t>
      </w:r>
      <w:r w:rsidRPr="00D64DF6">
        <w:rPr>
          <w:rFonts w:cstheme="minorHAnsi"/>
          <w:sz w:val="36"/>
          <w:szCs w:val="36"/>
          <w:lang w:val="en-GB"/>
        </w:rPr>
        <w:tab/>
      </w:r>
      <w:proofErr w:type="spellStart"/>
      <w:r w:rsidRPr="00D64DF6">
        <w:rPr>
          <w:rFonts w:cstheme="minorHAnsi"/>
          <w:sz w:val="36"/>
          <w:szCs w:val="36"/>
          <w:lang w:val="en-GB"/>
        </w:rPr>
        <w:t>Torjesen</w:t>
      </w:r>
      <w:proofErr w:type="spellEnd"/>
      <w:r w:rsidRPr="00D64DF6">
        <w:rPr>
          <w:rFonts w:cstheme="minorHAnsi"/>
          <w:sz w:val="36"/>
          <w:szCs w:val="36"/>
          <w:lang w:val="en-GB"/>
        </w:rPr>
        <w:t xml:space="preserve">, I., 2021: Covid-19: Middle aged women face greater risk of debilitating </w:t>
      </w:r>
      <w:proofErr w:type="gramStart"/>
      <w:r w:rsidRPr="00D64DF6">
        <w:rPr>
          <w:rFonts w:cstheme="minorHAnsi"/>
          <w:sz w:val="36"/>
          <w:szCs w:val="36"/>
          <w:lang w:val="en-GB"/>
        </w:rPr>
        <w:t>long term</w:t>
      </w:r>
      <w:proofErr w:type="gramEnd"/>
      <w:r w:rsidRPr="00D64DF6">
        <w:rPr>
          <w:rFonts w:cstheme="minorHAnsi"/>
          <w:sz w:val="36"/>
          <w:szCs w:val="36"/>
          <w:lang w:val="en-GB"/>
        </w:rPr>
        <w:t xml:space="preserve"> symptoms. </w:t>
      </w:r>
      <w:r w:rsidRPr="00D64DF6">
        <w:rPr>
          <w:rFonts w:cstheme="minorHAnsi"/>
          <w:i/>
          <w:iCs/>
          <w:sz w:val="36"/>
          <w:szCs w:val="36"/>
        </w:rPr>
        <w:t>BMJ</w:t>
      </w:r>
      <w:r w:rsidRPr="00D64DF6">
        <w:rPr>
          <w:rFonts w:cstheme="minorHAnsi"/>
          <w:sz w:val="36"/>
          <w:szCs w:val="36"/>
          <w:lang w:val="en-GB"/>
        </w:rPr>
        <w:t>, Mar 25;</w:t>
      </w:r>
      <w:proofErr w:type="gramStart"/>
      <w:r w:rsidRPr="00D64DF6">
        <w:rPr>
          <w:rFonts w:cstheme="minorHAnsi"/>
          <w:sz w:val="36"/>
          <w:szCs w:val="36"/>
          <w:lang w:val="en-GB"/>
        </w:rPr>
        <w:t>372:n</w:t>
      </w:r>
      <w:proofErr w:type="gramEnd"/>
      <w:r w:rsidRPr="00D64DF6">
        <w:rPr>
          <w:rFonts w:cstheme="minorHAnsi"/>
          <w:sz w:val="36"/>
          <w:szCs w:val="36"/>
          <w:lang w:val="en-GB"/>
        </w:rPr>
        <w:t>829.</w:t>
      </w:r>
    </w:p>
    <w:p w14:paraId="512FB384" w14:textId="77777777" w:rsidR="00D64DF6" w:rsidRPr="00D64DF6" w:rsidRDefault="00D64DF6" w:rsidP="00D64DF6">
      <w:pPr>
        <w:pStyle w:val="Reference"/>
        <w:ind w:left="616" w:hanging="616"/>
        <w:rPr>
          <w:rFonts w:cstheme="minorHAnsi"/>
          <w:sz w:val="36"/>
          <w:szCs w:val="36"/>
          <w:lang w:val="en-GB"/>
        </w:rPr>
      </w:pPr>
      <w:r w:rsidRPr="00D64DF6">
        <w:rPr>
          <w:rFonts w:cstheme="minorHAnsi"/>
          <w:sz w:val="36"/>
          <w:szCs w:val="36"/>
          <w:lang w:val="en-GB"/>
        </w:rPr>
        <w:t>12</w:t>
      </w:r>
      <w:r w:rsidRPr="00D64DF6">
        <w:rPr>
          <w:rFonts w:cstheme="minorHAnsi"/>
          <w:sz w:val="36"/>
          <w:szCs w:val="36"/>
          <w:lang w:val="en-GB"/>
        </w:rPr>
        <w:tab/>
      </w:r>
      <w:r w:rsidRPr="00D64DF6">
        <w:rPr>
          <w:rFonts w:cstheme="minorHAnsi"/>
          <w:spacing w:val="-10"/>
          <w:sz w:val="36"/>
          <w:szCs w:val="36"/>
          <w:lang w:val="en-GB"/>
        </w:rPr>
        <w:t xml:space="preserve">PAHO, 2021: </w:t>
      </w:r>
      <w:r w:rsidRPr="00D64DF6">
        <w:rPr>
          <w:rFonts w:cstheme="minorHAnsi"/>
          <w:i/>
          <w:iCs/>
          <w:spacing w:val="-10"/>
          <w:sz w:val="36"/>
          <w:szCs w:val="36"/>
        </w:rPr>
        <w:t>Gendered Health Analysis Covid-19 in the Americas</w:t>
      </w:r>
      <w:r w:rsidRPr="00D64DF6">
        <w:rPr>
          <w:rFonts w:cstheme="minorHAnsi"/>
          <w:spacing w:val="-10"/>
          <w:sz w:val="36"/>
          <w:szCs w:val="36"/>
          <w:lang w:val="en-GB"/>
        </w:rPr>
        <w:t>,</w:t>
      </w:r>
      <w:r w:rsidRPr="00D64DF6">
        <w:rPr>
          <w:rFonts w:cstheme="minorHAnsi"/>
          <w:sz w:val="36"/>
          <w:szCs w:val="36"/>
          <w:lang w:val="en-GB"/>
        </w:rPr>
        <w:t xml:space="preserve"> Pan American Health Organization, Washington DC: US.</w:t>
      </w:r>
    </w:p>
    <w:p w14:paraId="2E06B83B" w14:textId="77777777" w:rsidR="00D64DF6" w:rsidRPr="00D64DF6" w:rsidRDefault="00D64DF6" w:rsidP="00D64DF6">
      <w:pPr>
        <w:pStyle w:val="Reference"/>
        <w:ind w:left="616" w:hanging="616"/>
        <w:rPr>
          <w:rFonts w:cstheme="minorHAnsi"/>
          <w:sz w:val="36"/>
          <w:szCs w:val="36"/>
          <w:lang w:val="en-GB"/>
        </w:rPr>
      </w:pPr>
      <w:r w:rsidRPr="00D64DF6">
        <w:rPr>
          <w:rFonts w:cstheme="minorHAnsi"/>
          <w:sz w:val="36"/>
          <w:szCs w:val="36"/>
          <w:lang w:val="en-GB"/>
        </w:rPr>
        <w:t>13</w:t>
      </w:r>
      <w:r w:rsidRPr="00D64DF6">
        <w:rPr>
          <w:rFonts w:cstheme="minorHAnsi"/>
          <w:sz w:val="36"/>
          <w:szCs w:val="36"/>
          <w:lang w:val="en-GB"/>
        </w:rPr>
        <w:tab/>
      </w:r>
      <w:proofErr w:type="spellStart"/>
      <w:r w:rsidRPr="00D64DF6">
        <w:rPr>
          <w:rFonts w:cstheme="minorHAnsi"/>
          <w:sz w:val="36"/>
          <w:szCs w:val="36"/>
          <w:lang w:val="en-GB"/>
        </w:rPr>
        <w:t>Bettinger</w:t>
      </w:r>
      <w:proofErr w:type="spellEnd"/>
      <w:r w:rsidRPr="00D64DF6">
        <w:rPr>
          <w:rFonts w:cstheme="minorHAnsi"/>
          <w:sz w:val="36"/>
          <w:szCs w:val="36"/>
          <w:lang w:val="en-GB"/>
        </w:rPr>
        <w:t xml:space="preserve">-Lopez C, and Bro A, 2020: A Double Pandemic: Domestic Violence in the Age of COVID-19, </w:t>
      </w:r>
      <w:r w:rsidRPr="00D64DF6">
        <w:rPr>
          <w:rFonts w:cstheme="minorHAnsi"/>
          <w:i/>
          <w:iCs/>
          <w:sz w:val="36"/>
          <w:szCs w:val="36"/>
        </w:rPr>
        <w:t>Domestic Violence Report</w:t>
      </w:r>
      <w:r w:rsidRPr="00D64DF6">
        <w:rPr>
          <w:rFonts w:cstheme="minorHAnsi"/>
          <w:sz w:val="36"/>
          <w:szCs w:val="36"/>
          <w:lang w:val="en-GB"/>
        </w:rPr>
        <w:t xml:space="preserve">, Vol 25, No. 05, June/July </w:t>
      </w:r>
      <w:proofErr w:type="gramStart"/>
      <w:r w:rsidRPr="00D64DF6">
        <w:rPr>
          <w:rFonts w:cstheme="minorHAnsi"/>
          <w:sz w:val="36"/>
          <w:szCs w:val="36"/>
          <w:lang w:val="en-GB"/>
        </w:rPr>
        <w:t>2020 ,</w:t>
      </w:r>
      <w:proofErr w:type="gramEnd"/>
      <w:r w:rsidRPr="00D64DF6">
        <w:rPr>
          <w:rFonts w:cstheme="minorHAnsi"/>
          <w:sz w:val="36"/>
          <w:szCs w:val="36"/>
          <w:lang w:val="en-GB"/>
        </w:rPr>
        <w:t xml:space="preserve"> pp.85-86(2). Civic Research Institute.</w:t>
      </w:r>
    </w:p>
    <w:p w14:paraId="52D66AC7" w14:textId="77777777" w:rsidR="00D64DF6" w:rsidRPr="00D64DF6" w:rsidRDefault="00D64DF6" w:rsidP="00D64DF6">
      <w:pPr>
        <w:pStyle w:val="Reference"/>
        <w:ind w:left="616" w:hanging="616"/>
        <w:rPr>
          <w:rFonts w:cstheme="minorHAnsi"/>
          <w:sz w:val="36"/>
          <w:szCs w:val="36"/>
          <w:lang w:val="en-GB"/>
        </w:rPr>
      </w:pPr>
      <w:r w:rsidRPr="00D64DF6">
        <w:rPr>
          <w:rFonts w:cstheme="minorHAnsi"/>
          <w:sz w:val="36"/>
          <w:szCs w:val="36"/>
          <w:lang w:val="en-GB"/>
        </w:rPr>
        <w:lastRenderedPageBreak/>
        <w:t>14</w:t>
      </w:r>
      <w:r w:rsidRPr="00D64DF6">
        <w:rPr>
          <w:rFonts w:cstheme="minorHAnsi"/>
          <w:sz w:val="36"/>
          <w:szCs w:val="36"/>
          <w:lang w:val="en-GB"/>
        </w:rPr>
        <w:tab/>
      </w:r>
      <w:proofErr w:type="spellStart"/>
      <w:r w:rsidRPr="00D64DF6">
        <w:rPr>
          <w:rFonts w:cstheme="minorHAnsi"/>
          <w:sz w:val="36"/>
          <w:szCs w:val="36"/>
          <w:lang w:val="en-GB"/>
        </w:rPr>
        <w:t>Koziol</w:t>
      </w:r>
      <w:proofErr w:type="spellEnd"/>
      <w:r w:rsidRPr="00D64DF6">
        <w:rPr>
          <w:rFonts w:cstheme="minorHAnsi"/>
          <w:sz w:val="36"/>
          <w:szCs w:val="36"/>
          <w:lang w:val="en-GB"/>
        </w:rPr>
        <w:t xml:space="preserve">-McLain J, </w:t>
      </w:r>
      <w:r w:rsidRPr="00D64DF6">
        <w:rPr>
          <w:rFonts w:cstheme="minorHAnsi"/>
          <w:i/>
          <w:iCs/>
          <w:sz w:val="36"/>
          <w:szCs w:val="36"/>
        </w:rPr>
        <w:t>et al</w:t>
      </w:r>
      <w:r w:rsidRPr="00D64DF6">
        <w:rPr>
          <w:rFonts w:cstheme="minorHAnsi"/>
          <w:sz w:val="36"/>
          <w:szCs w:val="36"/>
          <w:lang w:val="en-GB"/>
        </w:rPr>
        <w:t xml:space="preserve">., 2023: Impact of COVID-19 on the Health Response to Family Violence in Aotearoa New Zealand: A Qualitative Study. </w:t>
      </w:r>
      <w:r w:rsidRPr="00D64DF6">
        <w:rPr>
          <w:rFonts w:cstheme="minorHAnsi"/>
          <w:i/>
          <w:iCs/>
          <w:sz w:val="36"/>
          <w:szCs w:val="36"/>
        </w:rPr>
        <w:t>Inquiry</w:t>
      </w:r>
      <w:r w:rsidRPr="00D64DF6">
        <w:rPr>
          <w:rFonts w:cstheme="minorHAnsi"/>
          <w:sz w:val="36"/>
          <w:szCs w:val="36"/>
          <w:lang w:val="en-GB"/>
        </w:rPr>
        <w:t>. 2023 Jan-</w:t>
      </w:r>
      <w:proofErr w:type="gramStart"/>
      <w:r w:rsidRPr="00D64DF6">
        <w:rPr>
          <w:rFonts w:cstheme="minorHAnsi"/>
          <w:sz w:val="36"/>
          <w:szCs w:val="36"/>
          <w:lang w:val="en-GB"/>
        </w:rPr>
        <w:t>Dec;60:469580221146832</w:t>
      </w:r>
      <w:proofErr w:type="gramEnd"/>
      <w:r w:rsidRPr="00D64DF6">
        <w:rPr>
          <w:rFonts w:cstheme="minorHAnsi"/>
          <w:sz w:val="36"/>
          <w:szCs w:val="36"/>
          <w:lang w:val="en-GB"/>
        </w:rPr>
        <w:t>.</w:t>
      </w:r>
    </w:p>
    <w:p w14:paraId="06CB28BE" w14:textId="77777777" w:rsidR="00D64DF6" w:rsidRPr="00D64DF6" w:rsidRDefault="00D64DF6" w:rsidP="00D64DF6">
      <w:pPr>
        <w:pStyle w:val="Reference"/>
        <w:ind w:left="616" w:hanging="616"/>
        <w:rPr>
          <w:rFonts w:cstheme="minorHAnsi"/>
          <w:spacing w:val="-2"/>
          <w:sz w:val="36"/>
          <w:szCs w:val="36"/>
        </w:rPr>
      </w:pPr>
      <w:r w:rsidRPr="00D64DF6">
        <w:rPr>
          <w:rFonts w:cstheme="minorHAnsi"/>
          <w:sz w:val="36"/>
          <w:szCs w:val="36"/>
          <w:lang w:val="en-GB"/>
        </w:rPr>
        <w:t>15</w:t>
      </w:r>
      <w:r w:rsidRPr="00D64DF6">
        <w:rPr>
          <w:rFonts w:cstheme="minorHAnsi"/>
          <w:sz w:val="36"/>
          <w:szCs w:val="36"/>
          <w:lang w:val="en-GB"/>
        </w:rPr>
        <w:tab/>
      </w:r>
      <w:r w:rsidRPr="00D64DF6">
        <w:rPr>
          <w:rFonts w:cstheme="minorHAnsi"/>
          <w:spacing w:val="-2"/>
          <w:sz w:val="36"/>
          <w:szCs w:val="36"/>
        </w:rPr>
        <w:t xml:space="preserve">Sri AS, 2021: COVID-19 and the violence against women and girls: ‘The shadow pandemic’, </w:t>
      </w:r>
      <w:r w:rsidRPr="00D64DF6">
        <w:rPr>
          <w:rFonts w:cstheme="minorHAnsi"/>
          <w:i/>
          <w:iCs/>
          <w:spacing w:val="-2"/>
          <w:sz w:val="36"/>
          <w:szCs w:val="36"/>
        </w:rPr>
        <w:t>Int J Soc Psychiatry</w:t>
      </w:r>
      <w:r w:rsidRPr="00D64DF6">
        <w:rPr>
          <w:rFonts w:cstheme="minorHAnsi"/>
          <w:spacing w:val="-2"/>
          <w:sz w:val="36"/>
          <w:szCs w:val="36"/>
        </w:rPr>
        <w:t>, Dec;67(8):971-973.</w:t>
      </w:r>
    </w:p>
    <w:p w14:paraId="3AE6A956" w14:textId="77777777" w:rsidR="00D64DF6" w:rsidRPr="00D64DF6" w:rsidRDefault="00D64DF6" w:rsidP="00D64DF6">
      <w:pPr>
        <w:pStyle w:val="Reference"/>
        <w:ind w:left="616" w:hanging="616"/>
        <w:rPr>
          <w:rFonts w:cstheme="minorHAnsi"/>
          <w:sz w:val="36"/>
          <w:szCs w:val="36"/>
          <w:lang w:val="en-GB"/>
        </w:rPr>
      </w:pPr>
      <w:r w:rsidRPr="00D64DF6">
        <w:rPr>
          <w:rFonts w:cstheme="minorHAnsi"/>
          <w:spacing w:val="-2"/>
          <w:sz w:val="36"/>
          <w:szCs w:val="36"/>
        </w:rPr>
        <w:t>16</w:t>
      </w:r>
      <w:r w:rsidRPr="00D64DF6">
        <w:rPr>
          <w:rFonts w:cstheme="minorHAnsi"/>
          <w:spacing w:val="-2"/>
          <w:sz w:val="36"/>
          <w:szCs w:val="36"/>
        </w:rPr>
        <w:tab/>
      </w:r>
      <w:r w:rsidRPr="00D64DF6">
        <w:rPr>
          <w:rFonts w:cstheme="minorHAnsi"/>
          <w:sz w:val="36"/>
          <w:szCs w:val="36"/>
          <w:lang w:val="en-GB"/>
        </w:rPr>
        <w:t>Every-Palmer S</w:t>
      </w:r>
      <w:r w:rsidRPr="00D64DF6">
        <w:rPr>
          <w:rFonts w:cstheme="minorHAnsi"/>
          <w:i/>
          <w:iCs/>
          <w:sz w:val="36"/>
          <w:szCs w:val="36"/>
        </w:rPr>
        <w:t>, et al</w:t>
      </w:r>
      <w:r w:rsidRPr="00D64DF6">
        <w:rPr>
          <w:rFonts w:cstheme="minorHAnsi"/>
          <w:sz w:val="36"/>
          <w:szCs w:val="36"/>
          <w:lang w:val="en-GB"/>
        </w:rPr>
        <w:t xml:space="preserve">., 2020: Psychological distress, anxiety, family violence, suicidality, and wellbeing in New Zealand during the COVID-19 lockdown: A cross-sectional study, </w:t>
      </w:r>
      <w:proofErr w:type="spellStart"/>
      <w:r w:rsidRPr="00D64DF6">
        <w:rPr>
          <w:rFonts w:cstheme="minorHAnsi"/>
          <w:i/>
          <w:iCs/>
          <w:sz w:val="36"/>
          <w:szCs w:val="36"/>
        </w:rPr>
        <w:t>PLoS</w:t>
      </w:r>
      <w:proofErr w:type="spellEnd"/>
      <w:r w:rsidRPr="00D64DF6">
        <w:rPr>
          <w:rFonts w:cstheme="minorHAnsi"/>
          <w:i/>
          <w:iCs/>
          <w:sz w:val="36"/>
          <w:szCs w:val="36"/>
        </w:rPr>
        <w:t xml:space="preserve"> One</w:t>
      </w:r>
      <w:r w:rsidRPr="00D64DF6">
        <w:rPr>
          <w:rFonts w:cstheme="minorHAnsi"/>
          <w:sz w:val="36"/>
          <w:szCs w:val="36"/>
          <w:lang w:val="en-GB"/>
        </w:rPr>
        <w:t>, Nov 4;15(11</w:t>
      </w:r>
      <w:proofErr w:type="gramStart"/>
      <w:r w:rsidRPr="00D64DF6">
        <w:rPr>
          <w:rFonts w:cstheme="minorHAnsi"/>
          <w:sz w:val="36"/>
          <w:szCs w:val="36"/>
          <w:lang w:val="en-GB"/>
        </w:rPr>
        <w:t>):e</w:t>
      </w:r>
      <w:proofErr w:type="gramEnd"/>
      <w:r w:rsidRPr="00D64DF6">
        <w:rPr>
          <w:rFonts w:cstheme="minorHAnsi"/>
          <w:sz w:val="36"/>
          <w:szCs w:val="36"/>
          <w:lang w:val="en-GB"/>
        </w:rPr>
        <w:t>0241658.</w:t>
      </w:r>
    </w:p>
    <w:p w14:paraId="3DFB1771" w14:textId="77777777" w:rsidR="00D64DF6" w:rsidRPr="00D64DF6" w:rsidRDefault="00D64DF6" w:rsidP="00D64DF6">
      <w:pPr>
        <w:pStyle w:val="Reference"/>
        <w:ind w:left="616" w:hanging="616"/>
        <w:rPr>
          <w:rFonts w:cstheme="minorHAnsi"/>
          <w:sz w:val="36"/>
          <w:szCs w:val="36"/>
          <w:lang w:val="en-GB"/>
        </w:rPr>
      </w:pPr>
      <w:r w:rsidRPr="00D64DF6">
        <w:rPr>
          <w:rFonts w:cstheme="minorHAnsi"/>
          <w:sz w:val="36"/>
          <w:szCs w:val="36"/>
          <w:lang w:val="en-GB"/>
        </w:rPr>
        <w:t>17</w:t>
      </w:r>
      <w:r w:rsidRPr="00D64DF6">
        <w:rPr>
          <w:rFonts w:cstheme="minorHAnsi"/>
          <w:sz w:val="36"/>
          <w:szCs w:val="36"/>
          <w:lang w:val="en-GB"/>
        </w:rPr>
        <w:tab/>
      </w:r>
      <w:proofErr w:type="spellStart"/>
      <w:r w:rsidRPr="00D64DF6">
        <w:rPr>
          <w:rFonts w:cstheme="minorHAnsi"/>
          <w:sz w:val="36"/>
          <w:szCs w:val="36"/>
          <w:lang w:val="en-GB"/>
        </w:rPr>
        <w:t>Fanslow</w:t>
      </w:r>
      <w:proofErr w:type="spellEnd"/>
      <w:r w:rsidRPr="00D64DF6">
        <w:rPr>
          <w:rFonts w:cstheme="minorHAnsi"/>
          <w:sz w:val="36"/>
          <w:szCs w:val="36"/>
          <w:lang w:val="en-GB"/>
        </w:rPr>
        <w:t xml:space="preserve"> J and Robinson E, 2004: Violence against women in New Zealand: prevalence and health consequences, </w:t>
      </w:r>
      <w:r w:rsidRPr="00D64DF6">
        <w:rPr>
          <w:rFonts w:cstheme="minorHAnsi"/>
          <w:i/>
          <w:iCs/>
          <w:sz w:val="36"/>
          <w:szCs w:val="36"/>
        </w:rPr>
        <w:t>NZ Med J</w:t>
      </w:r>
      <w:r w:rsidRPr="00D64DF6">
        <w:rPr>
          <w:rFonts w:cstheme="minorHAnsi"/>
          <w:sz w:val="36"/>
          <w:szCs w:val="36"/>
          <w:lang w:val="en-GB"/>
        </w:rPr>
        <w:t>; Nov 26;117(1206</w:t>
      </w:r>
      <w:proofErr w:type="gramStart"/>
      <w:r w:rsidRPr="00D64DF6">
        <w:rPr>
          <w:rFonts w:cstheme="minorHAnsi"/>
          <w:sz w:val="36"/>
          <w:szCs w:val="36"/>
          <w:lang w:val="en-GB"/>
        </w:rPr>
        <w:t>):U</w:t>
      </w:r>
      <w:proofErr w:type="gramEnd"/>
      <w:r w:rsidRPr="00D64DF6">
        <w:rPr>
          <w:rFonts w:cstheme="minorHAnsi"/>
          <w:sz w:val="36"/>
          <w:szCs w:val="36"/>
          <w:lang w:val="en-GB"/>
        </w:rPr>
        <w:t>1173.</w:t>
      </w:r>
    </w:p>
    <w:p w14:paraId="64BF23AA" w14:textId="77777777" w:rsidR="00D64DF6" w:rsidRPr="00D64DF6" w:rsidRDefault="00D64DF6" w:rsidP="00D64DF6">
      <w:pPr>
        <w:pStyle w:val="Reference"/>
        <w:ind w:left="616" w:hanging="616"/>
        <w:rPr>
          <w:rFonts w:cstheme="minorHAnsi"/>
          <w:sz w:val="36"/>
          <w:szCs w:val="36"/>
          <w:lang w:val="en-GB"/>
        </w:rPr>
      </w:pPr>
      <w:r w:rsidRPr="00D64DF6">
        <w:rPr>
          <w:rFonts w:cstheme="minorHAnsi"/>
          <w:sz w:val="36"/>
          <w:szCs w:val="36"/>
          <w:lang w:val="en-GB"/>
        </w:rPr>
        <w:t>18</w:t>
      </w:r>
      <w:r w:rsidRPr="00D64DF6">
        <w:rPr>
          <w:rFonts w:cstheme="minorHAnsi"/>
          <w:sz w:val="36"/>
          <w:szCs w:val="36"/>
          <w:lang w:val="en-GB"/>
        </w:rPr>
        <w:tab/>
      </w:r>
      <w:proofErr w:type="spellStart"/>
      <w:r w:rsidRPr="00D64DF6">
        <w:rPr>
          <w:rFonts w:cstheme="minorHAnsi"/>
          <w:sz w:val="36"/>
          <w:szCs w:val="36"/>
          <w:lang w:val="en-GB"/>
        </w:rPr>
        <w:t>Mellar</w:t>
      </w:r>
      <w:proofErr w:type="spellEnd"/>
      <w:r w:rsidRPr="00D64DF6">
        <w:rPr>
          <w:rFonts w:cstheme="minorHAnsi"/>
          <w:sz w:val="36"/>
          <w:szCs w:val="36"/>
          <w:lang w:val="en-GB"/>
        </w:rPr>
        <w:t xml:space="preserve"> BM, </w:t>
      </w:r>
      <w:r w:rsidRPr="00D64DF6">
        <w:rPr>
          <w:rFonts w:cstheme="minorHAnsi"/>
          <w:i/>
          <w:iCs/>
          <w:sz w:val="36"/>
          <w:szCs w:val="36"/>
        </w:rPr>
        <w:t>et al.</w:t>
      </w:r>
      <w:r w:rsidRPr="00D64DF6">
        <w:rPr>
          <w:rFonts w:cstheme="minorHAnsi"/>
          <w:sz w:val="36"/>
          <w:szCs w:val="36"/>
          <w:lang w:val="en-GB"/>
        </w:rPr>
        <w:t xml:space="preserve">, 2023: Association Between Women’s Exposure to Intimate Partner Violence and Self-reported Health Outcomes in New Zealand, </w:t>
      </w:r>
      <w:r w:rsidRPr="00D64DF6">
        <w:rPr>
          <w:rFonts w:cstheme="minorHAnsi"/>
          <w:i/>
          <w:iCs/>
          <w:sz w:val="36"/>
          <w:szCs w:val="36"/>
        </w:rPr>
        <w:t xml:space="preserve">JAMA </w:t>
      </w:r>
      <w:proofErr w:type="spellStart"/>
      <w:r w:rsidRPr="00D64DF6">
        <w:rPr>
          <w:rFonts w:cstheme="minorHAnsi"/>
          <w:i/>
          <w:iCs/>
          <w:sz w:val="36"/>
          <w:szCs w:val="36"/>
        </w:rPr>
        <w:t>Netw</w:t>
      </w:r>
      <w:proofErr w:type="spellEnd"/>
      <w:r w:rsidRPr="00D64DF6">
        <w:rPr>
          <w:rFonts w:cstheme="minorHAnsi"/>
          <w:i/>
          <w:iCs/>
          <w:sz w:val="36"/>
          <w:szCs w:val="36"/>
        </w:rPr>
        <w:t xml:space="preserve"> Open</w:t>
      </w:r>
      <w:r w:rsidRPr="00D64DF6">
        <w:rPr>
          <w:rFonts w:cstheme="minorHAnsi"/>
          <w:sz w:val="36"/>
          <w:szCs w:val="36"/>
          <w:lang w:val="en-GB"/>
        </w:rPr>
        <w:t>; Mar 1;6(3</w:t>
      </w:r>
      <w:proofErr w:type="gramStart"/>
      <w:r w:rsidRPr="00D64DF6">
        <w:rPr>
          <w:rFonts w:cstheme="minorHAnsi"/>
          <w:sz w:val="36"/>
          <w:szCs w:val="36"/>
          <w:lang w:val="en-GB"/>
        </w:rPr>
        <w:t>):e</w:t>
      </w:r>
      <w:proofErr w:type="gramEnd"/>
      <w:r w:rsidRPr="00D64DF6">
        <w:rPr>
          <w:rFonts w:cstheme="minorHAnsi"/>
          <w:sz w:val="36"/>
          <w:szCs w:val="36"/>
          <w:lang w:val="en-GB"/>
        </w:rPr>
        <w:t>231311.</w:t>
      </w:r>
    </w:p>
    <w:p w14:paraId="13C813E4" w14:textId="77777777" w:rsidR="00D64DF6" w:rsidRPr="00D64DF6" w:rsidRDefault="00D64DF6" w:rsidP="00D64DF6">
      <w:pPr>
        <w:pStyle w:val="Reference"/>
        <w:ind w:left="616" w:hanging="616"/>
        <w:rPr>
          <w:rFonts w:cstheme="minorHAnsi"/>
          <w:sz w:val="36"/>
          <w:szCs w:val="36"/>
          <w:lang w:val="en-GB"/>
        </w:rPr>
      </w:pPr>
      <w:r w:rsidRPr="00D64DF6">
        <w:rPr>
          <w:rFonts w:cstheme="minorHAnsi"/>
          <w:sz w:val="36"/>
          <w:szCs w:val="36"/>
          <w:lang w:val="en-GB"/>
        </w:rPr>
        <w:t>19</w:t>
      </w:r>
      <w:r w:rsidRPr="00D64DF6">
        <w:rPr>
          <w:rFonts w:cstheme="minorHAnsi"/>
          <w:sz w:val="36"/>
          <w:szCs w:val="36"/>
          <w:lang w:val="en-GB"/>
        </w:rPr>
        <w:tab/>
      </w:r>
      <w:proofErr w:type="spellStart"/>
      <w:r w:rsidRPr="00D64DF6">
        <w:rPr>
          <w:rFonts w:cstheme="minorHAnsi"/>
          <w:sz w:val="36"/>
          <w:szCs w:val="36"/>
          <w:lang w:val="en-GB"/>
        </w:rPr>
        <w:t>Fanslow</w:t>
      </w:r>
      <w:proofErr w:type="spellEnd"/>
      <w:r w:rsidRPr="00D64DF6">
        <w:rPr>
          <w:rFonts w:cstheme="minorHAnsi"/>
          <w:sz w:val="36"/>
          <w:szCs w:val="36"/>
          <w:lang w:val="en-GB"/>
        </w:rPr>
        <w:t xml:space="preserve"> JL, </w:t>
      </w:r>
      <w:r w:rsidRPr="00D64DF6">
        <w:rPr>
          <w:rFonts w:cstheme="minorHAnsi"/>
          <w:i/>
          <w:iCs/>
          <w:sz w:val="36"/>
          <w:szCs w:val="36"/>
        </w:rPr>
        <w:t>et al</w:t>
      </w:r>
      <w:r w:rsidRPr="00D64DF6">
        <w:rPr>
          <w:rFonts w:cstheme="minorHAnsi"/>
          <w:sz w:val="36"/>
          <w:szCs w:val="36"/>
          <w:lang w:val="en-GB"/>
        </w:rPr>
        <w:t xml:space="preserve">., </w:t>
      </w:r>
      <w:proofErr w:type="gramStart"/>
      <w:r w:rsidRPr="00D64DF6">
        <w:rPr>
          <w:rFonts w:cstheme="minorHAnsi"/>
          <w:sz w:val="36"/>
          <w:szCs w:val="36"/>
          <w:lang w:val="en-GB"/>
        </w:rPr>
        <w:t>2021:Lifetime</w:t>
      </w:r>
      <w:proofErr w:type="gramEnd"/>
      <w:r w:rsidRPr="00D64DF6">
        <w:rPr>
          <w:rFonts w:cstheme="minorHAnsi"/>
          <w:sz w:val="36"/>
          <w:szCs w:val="36"/>
          <w:lang w:val="en-GB"/>
        </w:rPr>
        <w:t xml:space="preserve"> Prevalence of Intimate Partner Violence and Disability: Results From a Population-Based Study in New Zealand, </w:t>
      </w:r>
      <w:r w:rsidRPr="00D64DF6">
        <w:rPr>
          <w:rFonts w:cstheme="minorHAnsi"/>
          <w:i/>
          <w:iCs/>
          <w:sz w:val="36"/>
          <w:szCs w:val="36"/>
        </w:rPr>
        <w:t xml:space="preserve">Am J </w:t>
      </w:r>
      <w:proofErr w:type="spellStart"/>
      <w:r w:rsidRPr="00D64DF6">
        <w:rPr>
          <w:rFonts w:cstheme="minorHAnsi"/>
          <w:i/>
          <w:iCs/>
          <w:sz w:val="36"/>
          <w:szCs w:val="36"/>
        </w:rPr>
        <w:t>Prev</w:t>
      </w:r>
      <w:proofErr w:type="spellEnd"/>
      <w:r w:rsidRPr="00D64DF6">
        <w:rPr>
          <w:rFonts w:cstheme="minorHAnsi"/>
          <w:i/>
          <w:iCs/>
          <w:sz w:val="36"/>
          <w:szCs w:val="36"/>
        </w:rPr>
        <w:t xml:space="preserve"> Med</w:t>
      </w:r>
      <w:r w:rsidRPr="00D64DF6">
        <w:rPr>
          <w:rFonts w:cstheme="minorHAnsi"/>
          <w:sz w:val="36"/>
          <w:szCs w:val="36"/>
          <w:lang w:val="en-GB"/>
        </w:rPr>
        <w:t>, Sep;61(3):320-328.</w:t>
      </w:r>
    </w:p>
    <w:p w14:paraId="7DAFD137" w14:textId="77777777" w:rsidR="00D64DF6" w:rsidRPr="00D64DF6" w:rsidRDefault="00D64DF6" w:rsidP="00D64DF6">
      <w:pPr>
        <w:pStyle w:val="Reference"/>
        <w:ind w:left="616" w:hanging="616"/>
        <w:rPr>
          <w:rFonts w:cstheme="minorHAnsi"/>
          <w:sz w:val="36"/>
          <w:szCs w:val="36"/>
          <w:lang w:val="en-GB"/>
        </w:rPr>
      </w:pPr>
      <w:r w:rsidRPr="00D64DF6">
        <w:rPr>
          <w:rFonts w:cstheme="minorHAnsi"/>
          <w:sz w:val="36"/>
          <w:szCs w:val="36"/>
          <w:lang w:val="en-GB"/>
        </w:rPr>
        <w:t>20</w:t>
      </w:r>
      <w:r w:rsidRPr="00D64DF6">
        <w:rPr>
          <w:rFonts w:cstheme="minorHAnsi"/>
          <w:sz w:val="36"/>
          <w:szCs w:val="36"/>
          <w:lang w:val="en-GB"/>
        </w:rPr>
        <w:tab/>
        <w:t xml:space="preserve">Ministry for Women. </w:t>
      </w:r>
      <w:r w:rsidRPr="00D64DF6">
        <w:rPr>
          <w:rStyle w:val="Hyperlink"/>
          <w:rFonts w:asciiTheme="minorHAnsi" w:eastAsiaTheme="majorEastAsia" w:hAnsiTheme="minorHAnsi" w:cstheme="minorHAnsi"/>
          <w:sz w:val="36"/>
          <w:szCs w:val="36"/>
          <w:lang w:val="en-GB"/>
        </w:rPr>
        <w:t>COVID-19 Advice to Minister</w:t>
      </w:r>
      <w:r w:rsidRPr="00D64DF6">
        <w:rPr>
          <w:rFonts w:cstheme="minorHAnsi"/>
          <w:sz w:val="36"/>
          <w:szCs w:val="36"/>
        </w:rPr>
        <w:t xml:space="preserve">. </w:t>
      </w:r>
      <w:r w:rsidRPr="00D64DF6">
        <w:rPr>
          <w:rFonts w:cstheme="minorHAnsi"/>
          <w:sz w:val="36"/>
          <w:szCs w:val="36"/>
          <w:lang w:val="en-GB"/>
        </w:rPr>
        <w:t>2020.</w:t>
      </w:r>
    </w:p>
    <w:p w14:paraId="5CFA1E72" w14:textId="77777777" w:rsidR="00D64DF6" w:rsidRPr="00D64DF6" w:rsidRDefault="00D64DF6" w:rsidP="00D64DF6">
      <w:pPr>
        <w:pStyle w:val="Reference"/>
        <w:ind w:left="616" w:hanging="616"/>
        <w:rPr>
          <w:rFonts w:cstheme="minorHAnsi"/>
          <w:sz w:val="36"/>
          <w:szCs w:val="36"/>
          <w:lang w:val="en-GB"/>
        </w:rPr>
      </w:pPr>
      <w:r w:rsidRPr="00D64DF6">
        <w:rPr>
          <w:rFonts w:cstheme="minorHAnsi"/>
          <w:sz w:val="36"/>
          <w:szCs w:val="36"/>
          <w:lang w:val="en-GB"/>
        </w:rPr>
        <w:t>21</w:t>
      </w:r>
      <w:r w:rsidRPr="00D64DF6">
        <w:rPr>
          <w:rFonts w:cstheme="minorHAnsi"/>
          <w:sz w:val="36"/>
          <w:szCs w:val="36"/>
          <w:lang w:val="en-GB"/>
        </w:rPr>
        <w:tab/>
        <w:t xml:space="preserve">Sellars S, 2016: </w:t>
      </w:r>
      <w:r w:rsidRPr="00D64DF6">
        <w:rPr>
          <w:rFonts w:cstheme="minorHAnsi"/>
          <w:i/>
          <w:iCs/>
          <w:sz w:val="36"/>
          <w:szCs w:val="36"/>
        </w:rPr>
        <w:t>Gender and Climate Change: A Closer Look at Existing Evidence</w:t>
      </w:r>
      <w:r w:rsidRPr="00D64DF6">
        <w:rPr>
          <w:rFonts w:cstheme="minorHAnsi"/>
          <w:sz w:val="36"/>
          <w:szCs w:val="36"/>
          <w:lang w:val="en-GB"/>
        </w:rPr>
        <w:t>, Global Gender and Climate Alliance, November 2016.</w:t>
      </w:r>
    </w:p>
    <w:p w14:paraId="026ED1CF" w14:textId="77777777" w:rsidR="00D64DF6" w:rsidRPr="00D64DF6" w:rsidRDefault="00D64DF6" w:rsidP="00D64DF6">
      <w:pPr>
        <w:pStyle w:val="Reference"/>
        <w:ind w:left="616" w:hanging="616"/>
        <w:rPr>
          <w:rFonts w:cstheme="minorHAnsi"/>
          <w:sz w:val="36"/>
          <w:szCs w:val="36"/>
          <w:lang w:val="en-GB"/>
        </w:rPr>
      </w:pPr>
      <w:r w:rsidRPr="00D64DF6">
        <w:rPr>
          <w:rFonts w:cstheme="minorHAnsi"/>
          <w:sz w:val="36"/>
          <w:szCs w:val="36"/>
          <w:lang w:val="en-GB"/>
        </w:rPr>
        <w:t>22</w:t>
      </w:r>
      <w:r w:rsidRPr="00D64DF6">
        <w:rPr>
          <w:rFonts w:cstheme="minorHAnsi"/>
          <w:sz w:val="36"/>
          <w:szCs w:val="36"/>
          <w:lang w:val="en-GB"/>
        </w:rPr>
        <w:tab/>
      </w:r>
      <w:proofErr w:type="spellStart"/>
      <w:r w:rsidRPr="00D64DF6">
        <w:rPr>
          <w:rFonts w:cstheme="minorHAnsi"/>
          <w:sz w:val="36"/>
          <w:szCs w:val="36"/>
          <w:lang w:val="en-GB"/>
        </w:rPr>
        <w:t>Pandipati</w:t>
      </w:r>
      <w:proofErr w:type="spellEnd"/>
      <w:r w:rsidRPr="00D64DF6">
        <w:rPr>
          <w:rFonts w:cstheme="minorHAnsi"/>
          <w:sz w:val="36"/>
          <w:szCs w:val="36"/>
          <w:lang w:val="en-GB"/>
        </w:rPr>
        <w:t xml:space="preserve"> S and Abel DE, 2023: Anticipated impacts of climate change on women’s health: A background primer, </w:t>
      </w:r>
      <w:r w:rsidRPr="00D64DF6">
        <w:rPr>
          <w:rFonts w:cstheme="minorHAnsi"/>
          <w:i/>
          <w:iCs/>
          <w:sz w:val="36"/>
          <w:szCs w:val="36"/>
        </w:rPr>
        <w:t xml:space="preserve">Int J </w:t>
      </w:r>
      <w:proofErr w:type="spellStart"/>
      <w:r w:rsidRPr="00D64DF6">
        <w:rPr>
          <w:rFonts w:cstheme="minorHAnsi"/>
          <w:i/>
          <w:iCs/>
          <w:sz w:val="36"/>
          <w:szCs w:val="36"/>
        </w:rPr>
        <w:t>Gynaecol</w:t>
      </w:r>
      <w:proofErr w:type="spellEnd"/>
      <w:r w:rsidRPr="00D64DF6">
        <w:rPr>
          <w:rFonts w:cstheme="minorHAnsi"/>
          <w:i/>
          <w:iCs/>
          <w:sz w:val="36"/>
          <w:szCs w:val="36"/>
        </w:rPr>
        <w:t xml:space="preserve"> </w:t>
      </w:r>
      <w:proofErr w:type="spellStart"/>
      <w:r w:rsidRPr="00D64DF6">
        <w:rPr>
          <w:rFonts w:cstheme="minorHAnsi"/>
          <w:i/>
          <w:iCs/>
          <w:sz w:val="36"/>
          <w:szCs w:val="36"/>
        </w:rPr>
        <w:t>Obstet</w:t>
      </w:r>
      <w:proofErr w:type="spellEnd"/>
      <w:r w:rsidRPr="00D64DF6">
        <w:rPr>
          <w:rFonts w:cstheme="minorHAnsi"/>
          <w:sz w:val="36"/>
          <w:szCs w:val="36"/>
          <w:lang w:val="en-GB"/>
        </w:rPr>
        <w:t>; Feb;160(2):394-399.</w:t>
      </w:r>
    </w:p>
    <w:p w14:paraId="7073B63B" w14:textId="77777777" w:rsidR="00D64DF6" w:rsidRPr="00D64DF6" w:rsidRDefault="00D64DF6" w:rsidP="00D64DF6">
      <w:pPr>
        <w:pStyle w:val="Reference"/>
        <w:ind w:left="616" w:hanging="616"/>
        <w:rPr>
          <w:rFonts w:cstheme="minorHAnsi"/>
          <w:sz w:val="36"/>
          <w:szCs w:val="36"/>
          <w:lang w:val="en-GB"/>
        </w:rPr>
      </w:pPr>
      <w:r w:rsidRPr="00D64DF6">
        <w:rPr>
          <w:rFonts w:cstheme="minorHAnsi"/>
          <w:sz w:val="36"/>
          <w:szCs w:val="36"/>
          <w:lang w:val="en-GB"/>
        </w:rPr>
        <w:lastRenderedPageBreak/>
        <w:t>23</w:t>
      </w:r>
      <w:r w:rsidRPr="00D64DF6">
        <w:rPr>
          <w:rFonts w:cstheme="minorHAnsi"/>
          <w:sz w:val="36"/>
          <w:szCs w:val="36"/>
          <w:lang w:val="en-GB"/>
        </w:rPr>
        <w:tab/>
      </w:r>
      <w:proofErr w:type="spellStart"/>
      <w:r w:rsidRPr="00D64DF6">
        <w:rPr>
          <w:rFonts w:cstheme="minorHAnsi"/>
          <w:sz w:val="36"/>
          <w:szCs w:val="36"/>
          <w:lang w:val="en-GB"/>
        </w:rPr>
        <w:t>Iasona</w:t>
      </w:r>
      <w:proofErr w:type="spellEnd"/>
      <w:r w:rsidRPr="00D64DF6">
        <w:rPr>
          <w:rFonts w:cstheme="minorHAnsi"/>
          <w:sz w:val="36"/>
          <w:szCs w:val="36"/>
          <w:lang w:val="en-GB"/>
        </w:rPr>
        <w:t xml:space="preserve"> S, 2023</w:t>
      </w:r>
      <w:r w:rsidRPr="00D64DF6">
        <w:rPr>
          <w:rFonts w:cstheme="minorHAnsi"/>
          <w:sz w:val="36"/>
          <w:szCs w:val="36"/>
        </w:rPr>
        <w:t xml:space="preserve">: </w:t>
      </w:r>
      <w:r w:rsidRPr="00D64DF6">
        <w:rPr>
          <w:rStyle w:val="Hyperlink"/>
          <w:rFonts w:asciiTheme="minorHAnsi" w:eastAsiaTheme="majorEastAsia" w:hAnsiTheme="minorHAnsi" w:cstheme="minorHAnsi"/>
          <w:sz w:val="36"/>
          <w:szCs w:val="36"/>
        </w:rPr>
        <w:t>Hawke’s Bay family violence support service hears from whānau ‘we’ve never heard of before’</w:t>
      </w:r>
      <w:r w:rsidRPr="00D64DF6">
        <w:rPr>
          <w:rFonts w:cstheme="minorHAnsi"/>
          <w:sz w:val="36"/>
          <w:szCs w:val="36"/>
        </w:rPr>
        <w:t>,</w:t>
      </w:r>
      <w:r w:rsidRPr="00D64DF6">
        <w:rPr>
          <w:rFonts w:cstheme="minorHAnsi"/>
          <w:sz w:val="36"/>
          <w:szCs w:val="36"/>
          <w:lang w:val="en-GB"/>
        </w:rPr>
        <w:t xml:space="preserve"> </w:t>
      </w:r>
      <w:proofErr w:type="spellStart"/>
      <w:r w:rsidRPr="00D64DF6">
        <w:rPr>
          <w:rFonts w:cstheme="minorHAnsi"/>
          <w:i/>
          <w:iCs/>
          <w:sz w:val="36"/>
          <w:szCs w:val="36"/>
        </w:rPr>
        <w:t>NewsHub</w:t>
      </w:r>
      <w:proofErr w:type="spellEnd"/>
      <w:r w:rsidRPr="00D64DF6">
        <w:rPr>
          <w:rFonts w:cstheme="minorHAnsi"/>
          <w:sz w:val="36"/>
          <w:szCs w:val="36"/>
          <w:lang w:val="en-GB"/>
        </w:rPr>
        <w:t>, 21 February 2023.</w:t>
      </w:r>
    </w:p>
    <w:p w14:paraId="2222F2F1" w14:textId="77777777" w:rsidR="00D64DF6" w:rsidRPr="00D64DF6" w:rsidRDefault="00D64DF6" w:rsidP="00D64DF6">
      <w:pPr>
        <w:pStyle w:val="Reference"/>
        <w:ind w:left="616" w:hanging="616"/>
        <w:rPr>
          <w:rFonts w:cstheme="minorHAnsi"/>
          <w:sz w:val="36"/>
          <w:szCs w:val="36"/>
          <w:lang w:val="en-GB"/>
        </w:rPr>
      </w:pPr>
      <w:r w:rsidRPr="00D64DF6">
        <w:rPr>
          <w:rFonts w:cstheme="minorHAnsi"/>
          <w:sz w:val="36"/>
          <w:szCs w:val="36"/>
          <w:lang w:val="en-GB"/>
        </w:rPr>
        <w:t>24</w:t>
      </w:r>
      <w:r w:rsidRPr="00D64DF6">
        <w:rPr>
          <w:rFonts w:cstheme="minorHAnsi"/>
          <w:sz w:val="36"/>
          <w:szCs w:val="36"/>
          <w:lang w:val="en-GB"/>
        </w:rPr>
        <w:tab/>
        <w:t xml:space="preserve">Houghton R, 2009: ‘Everything Became a Struggle, Absolute Struggle’: Post-Flood in </w:t>
      </w:r>
      <w:r w:rsidRPr="00D64DF6">
        <w:rPr>
          <w:rFonts w:cstheme="minorHAnsi"/>
          <w:i/>
          <w:iCs/>
          <w:sz w:val="36"/>
          <w:szCs w:val="36"/>
        </w:rPr>
        <w:t xml:space="preserve">Women, </w:t>
      </w:r>
      <w:proofErr w:type="gramStart"/>
      <w:r w:rsidRPr="00D64DF6">
        <w:rPr>
          <w:rFonts w:cstheme="minorHAnsi"/>
          <w:i/>
          <w:iCs/>
          <w:sz w:val="36"/>
          <w:szCs w:val="36"/>
        </w:rPr>
        <w:t>Gender</w:t>
      </w:r>
      <w:proofErr w:type="gramEnd"/>
      <w:r w:rsidRPr="00D64DF6">
        <w:rPr>
          <w:rFonts w:cstheme="minorHAnsi"/>
          <w:i/>
          <w:iCs/>
          <w:sz w:val="36"/>
          <w:szCs w:val="36"/>
        </w:rPr>
        <w:t xml:space="preserve"> and Disaster: Global Issues and Initiatives</w:t>
      </w:r>
      <w:r w:rsidRPr="00D64DF6">
        <w:rPr>
          <w:rFonts w:cstheme="minorHAnsi"/>
          <w:sz w:val="36"/>
          <w:szCs w:val="36"/>
          <w:lang w:val="en-GB"/>
        </w:rPr>
        <w:t xml:space="preserve"> (Eds. </w:t>
      </w:r>
      <w:proofErr w:type="spellStart"/>
      <w:r w:rsidRPr="00D64DF6">
        <w:rPr>
          <w:rFonts w:cstheme="minorHAnsi"/>
          <w:sz w:val="36"/>
          <w:szCs w:val="36"/>
          <w:lang w:val="en-GB"/>
        </w:rPr>
        <w:t>Enarson</w:t>
      </w:r>
      <w:proofErr w:type="spellEnd"/>
      <w:r w:rsidRPr="00D64DF6">
        <w:rPr>
          <w:rFonts w:cstheme="minorHAnsi"/>
          <w:sz w:val="36"/>
          <w:szCs w:val="36"/>
          <w:lang w:val="en-GB"/>
        </w:rPr>
        <w:t xml:space="preserve"> E, &amp; Chakrabarti PGD), </w:t>
      </w:r>
      <w:proofErr w:type="spellStart"/>
      <w:r w:rsidRPr="00D64DF6">
        <w:rPr>
          <w:rFonts w:cstheme="minorHAnsi"/>
          <w:sz w:val="36"/>
          <w:szCs w:val="36"/>
          <w:lang w:val="en-GB"/>
        </w:rPr>
        <w:t>Chpt</w:t>
      </w:r>
      <w:proofErr w:type="spellEnd"/>
      <w:r w:rsidRPr="00D64DF6">
        <w:rPr>
          <w:rFonts w:cstheme="minorHAnsi"/>
          <w:sz w:val="36"/>
          <w:szCs w:val="36"/>
          <w:lang w:val="en-GB"/>
        </w:rPr>
        <w:t xml:space="preserve"> 8, SAGE Publications: India.</w:t>
      </w:r>
    </w:p>
    <w:p w14:paraId="31CEDB8C" w14:textId="77777777" w:rsidR="00D64DF6" w:rsidRPr="00D64DF6" w:rsidRDefault="00D64DF6" w:rsidP="00D64DF6">
      <w:pPr>
        <w:pStyle w:val="Reference"/>
        <w:ind w:left="616" w:hanging="616"/>
        <w:rPr>
          <w:rFonts w:cstheme="minorHAnsi"/>
          <w:sz w:val="36"/>
          <w:szCs w:val="36"/>
          <w:lang w:val="en-GB"/>
        </w:rPr>
      </w:pPr>
      <w:r w:rsidRPr="00D64DF6">
        <w:rPr>
          <w:rFonts w:cstheme="minorHAnsi"/>
          <w:sz w:val="36"/>
          <w:szCs w:val="36"/>
          <w:lang w:val="en-GB"/>
        </w:rPr>
        <w:t>25</w:t>
      </w:r>
      <w:r w:rsidRPr="00D64DF6">
        <w:rPr>
          <w:rFonts w:cstheme="minorHAnsi"/>
          <w:sz w:val="36"/>
          <w:szCs w:val="36"/>
          <w:lang w:val="en-GB"/>
        </w:rPr>
        <w:tab/>
        <w:t xml:space="preserve">Houghton R, 2010: “We had to cope with what we had”: </w:t>
      </w:r>
      <w:r w:rsidRPr="00D64DF6">
        <w:rPr>
          <w:rFonts w:cstheme="minorHAnsi"/>
          <w:i/>
          <w:iCs/>
          <w:sz w:val="36"/>
          <w:szCs w:val="36"/>
        </w:rPr>
        <w:t>Agency perspectives on domestic violence and disasters in New Zealand</w:t>
      </w:r>
      <w:r w:rsidRPr="00D64DF6">
        <w:rPr>
          <w:rFonts w:cstheme="minorHAnsi"/>
          <w:sz w:val="36"/>
          <w:szCs w:val="36"/>
          <w:lang w:val="en-GB"/>
        </w:rPr>
        <w:t>. Victoria University of Wellington, Wellington.</w:t>
      </w:r>
    </w:p>
    <w:p w14:paraId="67C95516" w14:textId="77777777" w:rsidR="00D64DF6" w:rsidRPr="00D64DF6" w:rsidRDefault="00D64DF6" w:rsidP="00D64DF6">
      <w:pPr>
        <w:pStyle w:val="Reference"/>
        <w:ind w:left="616" w:hanging="616"/>
        <w:rPr>
          <w:rFonts w:cstheme="minorHAnsi"/>
          <w:sz w:val="36"/>
          <w:szCs w:val="36"/>
          <w:lang w:val="en-GB"/>
        </w:rPr>
      </w:pPr>
      <w:r w:rsidRPr="00D64DF6">
        <w:rPr>
          <w:rFonts w:cstheme="minorHAnsi"/>
          <w:sz w:val="36"/>
          <w:szCs w:val="36"/>
          <w:lang w:val="en-GB"/>
        </w:rPr>
        <w:t>26</w:t>
      </w:r>
      <w:r w:rsidRPr="00D64DF6">
        <w:rPr>
          <w:rFonts w:cstheme="minorHAnsi"/>
          <w:sz w:val="36"/>
          <w:szCs w:val="36"/>
          <w:lang w:val="en-GB"/>
        </w:rPr>
        <w:tab/>
      </w:r>
      <w:proofErr w:type="spellStart"/>
      <w:r w:rsidRPr="00D64DF6">
        <w:rPr>
          <w:rFonts w:cstheme="minorHAnsi"/>
          <w:sz w:val="36"/>
          <w:szCs w:val="36"/>
          <w:lang w:val="en-GB"/>
        </w:rPr>
        <w:t>Kitchin</w:t>
      </w:r>
      <w:proofErr w:type="spellEnd"/>
      <w:r w:rsidRPr="00D64DF6">
        <w:rPr>
          <w:rFonts w:cstheme="minorHAnsi"/>
          <w:sz w:val="36"/>
          <w:szCs w:val="36"/>
          <w:lang w:val="en-GB"/>
        </w:rPr>
        <w:t xml:space="preserve"> T, 2023: Cyclone Gabrielle’s impact on New Zealand’s ‘fruit bowl’, </w:t>
      </w:r>
      <w:r w:rsidRPr="00D64DF6">
        <w:rPr>
          <w:rFonts w:cstheme="minorHAnsi"/>
          <w:i/>
          <w:iCs/>
          <w:sz w:val="36"/>
          <w:szCs w:val="36"/>
        </w:rPr>
        <w:t>Radio New Zealand</w:t>
      </w:r>
      <w:r w:rsidRPr="00D64DF6">
        <w:rPr>
          <w:rFonts w:cstheme="minorHAnsi"/>
          <w:sz w:val="36"/>
          <w:szCs w:val="36"/>
          <w:lang w:val="en-GB"/>
        </w:rPr>
        <w:t>, 9 March 2023.</w:t>
      </w:r>
    </w:p>
    <w:p w14:paraId="31D214EB" w14:textId="77777777" w:rsidR="00D64DF6" w:rsidRPr="00D64DF6" w:rsidRDefault="00D64DF6" w:rsidP="00D64DF6">
      <w:pPr>
        <w:pStyle w:val="Reference"/>
        <w:ind w:left="616" w:hanging="616"/>
        <w:rPr>
          <w:rFonts w:cstheme="minorHAnsi"/>
          <w:sz w:val="36"/>
          <w:szCs w:val="36"/>
          <w:lang w:val="en-GB"/>
        </w:rPr>
      </w:pPr>
      <w:r w:rsidRPr="00D64DF6">
        <w:rPr>
          <w:rFonts w:cstheme="minorHAnsi"/>
          <w:sz w:val="36"/>
          <w:szCs w:val="36"/>
          <w:lang w:val="en-GB"/>
        </w:rPr>
        <w:t>27</w:t>
      </w:r>
      <w:r w:rsidRPr="00D64DF6">
        <w:rPr>
          <w:rFonts w:cstheme="minorHAnsi"/>
          <w:sz w:val="36"/>
          <w:szCs w:val="36"/>
          <w:lang w:val="en-GB"/>
        </w:rPr>
        <w:tab/>
        <w:t xml:space="preserve">Prasad A, 2023: </w:t>
      </w:r>
      <w:r w:rsidRPr="00D64DF6">
        <w:rPr>
          <w:rStyle w:val="Hyperlink"/>
          <w:rFonts w:asciiTheme="minorHAnsi" w:eastAsiaTheme="majorEastAsia" w:hAnsiTheme="minorHAnsi" w:cstheme="minorHAnsi"/>
          <w:sz w:val="36"/>
          <w:szCs w:val="36"/>
          <w:lang w:val="en-GB"/>
        </w:rPr>
        <w:t>Cyclone Gabrielle: Fresh produce prices likely to rise, experts say</w:t>
      </w:r>
      <w:r w:rsidRPr="00D64DF6">
        <w:rPr>
          <w:rFonts w:cstheme="minorHAnsi"/>
          <w:sz w:val="36"/>
          <w:szCs w:val="36"/>
          <w:lang w:val="en-GB"/>
        </w:rPr>
        <w:t xml:space="preserve">, </w:t>
      </w:r>
      <w:r w:rsidRPr="00D64DF6">
        <w:rPr>
          <w:rFonts w:cstheme="minorHAnsi"/>
          <w:i/>
          <w:iCs/>
          <w:sz w:val="36"/>
          <w:szCs w:val="36"/>
        </w:rPr>
        <w:t>New Zealand Herald</w:t>
      </w:r>
      <w:r w:rsidRPr="00D64DF6">
        <w:rPr>
          <w:rFonts w:cstheme="minorHAnsi"/>
          <w:sz w:val="36"/>
          <w:szCs w:val="36"/>
          <w:lang w:val="en-GB"/>
        </w:rPr>
        <w:t>, 16 February 2023.</w:t>
      </w:r>
    </w:p>
    <w:p w14:paraId="74862339" w14:textId="637952BC" w:rsidR="00B72815" w:rsidRPr="00D64DF6" w:rsidRDefault="00D64DF6" w:rsidP="00D64DF6">
      <w:pPr>
        <w:pStyle w:val="BodyText"/>
        <w:spacing w:after="360"/>
        <w:ind w:left="616" w:hanging="616"/>
        <w:rPr>
          <w:rFonts w:asciiTheme="minorHAnsi" w:hAnsiTheme="minorHAnsi" w:cstheme="minorHAnsi"/>
          <w:vertAlign w:val="superscript"/>
        </w:rPr>
      </w:pPr>
      <w:r w:rsidRPr="00D64DF6">
        <w:rPr>
          <w:rFonts w:asciiTheme="minorHAnsi" w:hAnsiTheme="minorHAnsi" w:cstheme="minorHAnsi"/>
          <w:lang w:val="en-GB"/>
        </w:rPr>
        <w:t>28</w:t>
      </w:r>
      <w:r w:rsidRPr="00D64DF6">
        <w:rPr>
          <w:rFonts w:asciiTheme="minorHAnsi" w:hAnsiTheme="minorHAnsi" w:cstheme="minorHAnsi"/>
          <w:lang w:val="en-GB"/>
        </w:rPr>
        <w:tab/>
        <w:t xml:space="preserve">Royal Society Te </w:t>
      </w:r>
      <w:proofErr w:type="spellStart"/>
      <w:r w:rsidRPr="00D64DF6">
        <w:rPr>
          <w:rFonts w:asciiTheme="minorHAnsi" w:hAnsiTheme="minorHAnsi" w:cstheme="minorHAnsi"/>
          <w:lang w:val="en-GB"/>
        </w:rPr>
        <w:t>Apārangi</w:t>
      </w:r>
      <w:proofErr w:type="spellEnd"/>
      <w:r w:rsidRPr="00D64DF6">
        <w:rPr>
          <w:rFonts w:asciiTheme="minorHAnsi" w:hAnsiTheme="minorHAnsi" w:cstheme="minorHAnsi"/>
          <w:lang w:val="en-GB"/>
        </w:rPr>
        <w:t xml:space="preserve">, 2017: </w:t>
      </w:r>
      <w:r w:rsidRPr="00D64DF6">
        <w:rPr>
          <w:rFonts w:asciiTheme="minorHAnsi" w:hAnsiTheme="minorHAnsi" w:cstheme="minorHAnsi"/>
          <w:i/>
          <w:iCs/>
        </w:rPr>
        <w:t>Human Health Impacts of Climate Change for New Zealand, Evidence Summary</w:t>
      </w:r>
      <w:r w:rsidRPr="00D64DF6">
        <w:rPr>
          <w:rFonts w:asciiTheme="minorHAnsi" w:hAnsiTheme="minorHAnsi" w:cstheme="minorHAnsi"/>
          <w:lang w:val="en-GB"/>
        </w:rPr>
        <w:t xml:space="preserve">, </w:t>
      </w:r>
      <w:r w:rsidRPr="00D64DF6">
        <w:rPr>
          <w:rFonts w:asciiTheme="minorHAnsi" w:hAnsiTheme="minorHAnsi" w:cstheme="minorHAnsi"/>
          <w:spacing w:val="-2"/>
          <w:lang w:val="en-GB"/>
        </w:rPr>
        <w:t xml:space="preserve">Royal Society Te </w:t>
      </w:r>
      <w:proofErr w:type="spellStart"/>
      <w:r w:rsidRPr="00D64DF6">
        <w:rPr>
          <w:rFonts w:asciiTheme="minorHAnsi" w:hAnsiTheme="minorHAnsi" w:cstheme="minorHAnsi"/>
          <w:spacing w:val="-2"/>
          <w:lang w:val="en-GB"/>
        </w:rPr>
        <w:t>Apārangi</w:t>
      </w:r>
      <w:proofErr w:type="spellEnd"/>
      <w:r w:rsidRPr="00D64DF6">
        <w:rPr>
          <w:rFonts w:asciiTheme="minorHAnsi" w:hAnsiTheme="minorHAnsi" w:cstheme="minorHAnsi"/>
          <w:spacing w:val="-2"/>
          <w:lang w:val="en-GB"/>
        </w:rPr>
        <w:t>, October 2017, Wellington: NZ.</w:t>
      </w:r>
      <w:r w:rsidRPr="00D64DF6">
        <w:rPr>
          <w:rFonts w:asciiTheme="minorHAnsi" w:hAnsiTheme="minorHAnsi" w:cstheme="minorHAnsi"/>
          <w:vertAlign w:val="superscript"/>
        </w:rPr>
        <w:t xml:space="preserve"> </w:t>
      </w:r>
    </w:p>
    <w:p w14:paraId="590233D2" w14:textId="77777777" w:rsidR="00B72815" w:rsidRDefault="00B72815" w:rsidP="00B72815">
      <w:pPr>
        <w:pStyle w:val="Heading1"/>
      </w:pPr>
    </w:p>
    <w:p w14:paraId="448AF1B4" w14:textId="77777777" w:rsidR="00B72815" w:rsidRDefault="00B72815" w:rsidP="00B72815">
      <w:pPr>
        <w:pStyle w:val="BodyText"/>
      </w:pPr>
    </w:p>
    <w:p w14:paraId="21676E3E" w14:textId="77777777" w:rsidR="00B72815" w:rsidRDefault="00B72815" w:rsidP="00B72815">
      <w:pPr>
        <w:pStyle w:val="Heading2"/>
        <w:rPr>
          <w:rFonts w:eastAsiaTheme="minorHAnsi"/>
        </w:rPr>
      </w:pPr>
    </w:p>
    <w:p w14:paraId="17FD10ED" w14:textId="77777777" w:rsidR="00B72815" w:rsidRDefault="00B72815" w:rsidP="00B72815"/>
    <w:p w14:paraId="5B2C5D91" w14:textId="187EF8A2" w:rsidR="009A2408" w:rsidRDefault="009A2408" w:rsidP="00B72815">
      <w:pPr>
        <w:pStyle w:val="FootnoteText"/>
        <w:rPr>
          <w:rFonts w:ascii="Myriad Pro" w:eastAsia="Calibri" w:hAnsi="Myriad Pro"/>
          <w:sz w:val="36"/>
          <w:szCs w:val="36"/>
          <w:highlight w:val="yellow"/>
        </w:rPr>
      </w:pPr>
    </w:p>
    <w:sectPr w:rsidR="009A2408" w:rsidSect="00926DAC">
      <w:headerReference w:type="default" r:id="rId18"/>
      <w:footerReference w:type="default" r:id="rId19"/>
      <w:endnotePr>
        <w:numFmt w:val="decimal"/>
      </w:endnotePr>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E142B" w14:textId="77777777" w:rsidR="00A30123" w:rsidRDefault="00A30123" w:rsidP="001B4F29">
      <w:r>
        <w:separator/>
      </w:r>
    </w:p>
  </w:endnote>
  <w:endnote w:type="continuationSeparator" w:id="0">
    <w:p w14:paraId="29F33451" w14:textId="77777777" w:rsidR="00A30123" w:rsidRDefault="00A30123" w:rsidP="001B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AKOB+X4A4F7110">
    <w:altName w:val="Calibri"/>
    <w:panose1 w:val="00000000000000000000"/>
    <w:charset w:val="00"/>
    <w:family w:val="swiss"/>
    <w:notTrueType/>
    <w:pitch w:val="default"/>
    <w:sig w:usb0="00000003" w:usb1="00000000" w:usb2="00000000" w:usb3="00000000" w:csb0="00000001" w:csb1="00000000"/>
  </w:font>
  <w:font w:name="Aaux ProBold">
    <w:panose1 w:val="000004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Source Sans Pro">
    <w:charset w:val="00"/>
    <w:family w:val="swiss"/>
    <w:pitch w:val="variable"/>
    <w:sig w:usb0="600002F7" w:usb1="02000001" w:usb2="00000000" w:usb3="00000000" w:csb0="0000019F" w:csb1="00000000"/>
  </w:font>
  <w:font w:name="ZapfEllipt BT">
    <w:panose1 w:val="02040503050506040803"/>
    <w:charset w:val="00"/>
    <w:family w:val="roman"/>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Fira Sans SemiBold">
    <w:altName w:val="Calibri"/>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Helvetica Neue">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ublico Text Roman">
    <w:altName w:val="Cambria"/>
    <w:charset w:val="00"/>
    <w:family w:val="roman"/>
    <w:pitch w:val="default"/>
  </w:font>
  <w:font w:name="Futura LT Light">
    <w:altName w:val="Century Gothic"/>
    <w:panose1 w:val="00000000000000000000"/>
    <w:charset w:val="00"/>
    <w:family w:val="swiss"/>
    <w:notTrueType/>
    <w:pitch w:val="default"/>
    <w:sig w:usb0="00000003" w:usb1="00000000" w:usb2="00000000" w:usb3="00000000" w:csb0="00000001" w:csb1="00000000"/>
  </w:font>
  <w:font w:name="Droid Serif">
    <w:altName w:val="Droid Serif"/>
    <w:panose1 w:val="00000000000000000000"/>
    <w:charset w:val="00"/>
    <w:family w:val="roman"/>
    <w:notTrueType/>
    <w:pitch w:val="default"/>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The Sans Light">
    <w:altName w:val="The Sans Light"/>
    <w:panose1 w:val="00000000000000000000"/>
    <w:charset w:val="00"/>
    <w:family w:val="swiss"/>
    <w:notTrueType/>
    <w:pitch w:val="default"/>
    <w:sig w:usb0="00000003" w:usb1="00000000" w:usb2="00000000" w:usb3="00000000" w:csb0="0000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AdvPECFD32">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7385" w14:textId="62813BF0" w:rsidR="0050635C" w:rsidRPr="00923555" w:rsidRDefault="0050635C" w:rsidP="00923555">
    <w:pPr>
      <w:pStyle w:val="Footer"/>
      <w:tabs>
        <w:tab w:val="clear" w:pos="4153"/>
        <w:tab w:val="clear" w:pos="8306"/>
        <w:tab w:val="right" w:pos="9026"/>
      </w:tabs>
      <w:rPr>
        <w:rFonts w:asciiTheme="minorHAnsi" w:hAnsiTheme="minorHAnsi" w:cstheme="minorHAnsi"/>
        <w:sz w:val="22"/>
        <w:szCs w:val="18"/>
        <w:lang w:val="en-NZ"/>
      </w:rPr>
    </w:pPr>
    <w:r w:rsidRPr="00923555">
      <w:rPr>
        <w:rFonts w:asciiTheme="minorHAnsi" w:hAnsiTheme="minorHAnsi" w:cstheme="minorHAnsi"/>
        <w:sz w:val="22"/>
        <w:szCs w:val="18"/>
        <w:lang w:val="en-NZ"/>
      </w:rPr>
      <w:fldChar w:fldCharType="begin"/>
    </w:r>
    <w:r w:rsidRPr="00923555">
      <w:rPr>
        <w:rFonts w:asciiTheme="minorHAnsi" w:hAnsiTheme="minorHAnsi" w:cstheme="minorHAnsi"/>
        <w:sz w:val="22"/>
        <w:szCs w:val="18"/>
        <w:lang w:val="en-NZ"/>
      </w:rPr>
      <w:instrText xml:space="preserve"> PAGE   \* MERGEFORMAT </w:instrText>
    </w:r>
    <w:r w:rsidRPr="00923555">
      <w:rPr>
        <w:rFonts w:asciiTheme="minorHAnsi" w:hAnsiTheme="minorHAnsi" w:cstheme="minorHAnsi"/>
        <w:sz w:val="22"/>
        <w:szCs w:val="18"/>
        <w:lang w:val="en-NZ"/>
      </w:rPr>
      <w:fldChar w:fldCharType="separate"/>
    </w:r>
    <w:r>
      <w:rPr>
        <w:rFonts w:asciiTheme="minorHAnsi" w:hAnsiTheme="minorHAnsi" w:cstheme="minorHAnsi"/>
        <w:sz w:val="22"/>
        <w:szCs w:val="18"/>
      </w:rPr>
      <w:t>1</w:t>
    </w:r>
    <w:r w:rsidRPr="00923555">
      <w:rPr>
        <w:rFonts w:asciiTheme="minorHAnsi" w:hAnsiTheme="minorHAnsi" w:cstheme="minorHAnsi"/>
        <w:noProof/>
        <w:sz w:val="22"/>
        <w:szCs w:val="18"/>
        <w:lang w:val="en-NZ"/>
      </w:rPr>
      <w:fldChar w:fldCharType="end"/>
    </w:r>
    <w:r>
      <w:rPr>
        <w:rFonts w:asciiTheme="minorHAnsi" w:hAnsiTheme="minorHAnsi" w:cstheme="minorHAnsi"/>
        <w:noProof/>
        <w:sz w:val="22"/>
        <w:szCs w:val="18"/>
        <w:lang w:val="en-N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4531A" w14:textId="77777777" w:rsidR="00A30123" w:rsidRDefault="00A30123" w:rsidP="001B4F29">
      <w:r>
        <w:separator/>
      </w:r>
    </w:p>
  </w:footnote>
  <w:footnote w:type="continuationSeparator" w:id="0">
    <w:p w14:paraId="27696C44" w14:textId="77777777" w:rsidR="00A30123" w:rsidRDefault="00A30123" w:rsidP="001B4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3780" w14:textId="5CEE8C95" w:rsidR="00FC7E16" w:rsidRDefault="00FC7E16">
    <w:pPr>
      <w:pStyle w:val="Header"/>
    </w:pPr>
    <w:r w:rsidRPr="00923555">
      <w:rPr>
        <w:rFonts w:asciiTheme="minorHAnsi" w:hAnsiTheme="minorHAnsi" w:cstheme="minorHAnsi"/>
        <w:sz w:val="22"/>
        <w:szCs w:val="18"/>
      </w:rPr>
      <w:t xml:space="preserve">Auckland Women’s Health Council Newsletter </w:t>
    </w:r>
    <w:r w:rsidR="00BA7DE1">
      <w:rPr>
        <w:rFonts w:asciiTheme="minorHAnsi" w:hAnsiTheme="minorHAnsi" w:cstheme="minorHAnsi"/>
        <w:sz w:val="22"/>
        <w:szCs w:val="18"/>
      </w:rPr>
      <w:t>February-March</w:t>
    </w:r>
    <w:r>
      <w:rPr>
        <w:rFonts w:asciiTheme="minorHAnsi" w:hAnsiTheme="minorHAnsi" w:cstheme="minorHAnsi"/>
        <w:sz w:val="22"/>
        <w:szCs w:val="18"/>
      </w:rPr>
      <w:t xml:space="preserve"> 202</w:t>
    </w:r>
    <w:r w:rsidR="00BA7DE1">
      <w:rPr>
        <w:rFonts w:asciiTheme="minorHAnsi" w:hAnsiTheme="minorHAnsi" w:cstheme="minorHAnsi"/>
        <w:sz w:val="22"/>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1E80"/>
    <w:multiLevelType w:val="multilevel"/>
    <w:tmpl w:val="6A72ED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361FF"/>
    <w:multiLevelType w:val="multilevel"/>
    <w:tmpl w:val="8F809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4301E"/>
    <w:multiLevelType w:val="hybridMultilevel"/>
    <w:tmpl w:val="36C46E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02360A"/>
    <w:multiLevelType w:val="singleLevel"/>
    <w:tmpl w:val="A5D6816A"/>
    <w:lvl w:ilvl="0">
      <w:start w:val="1"/>
      <w:numFmt w:val="bullet"/>
      <w:pStyle w:val="ListBullet"/>
      <w:lvlText w:val=""/>
      <w:lvlJc w:val="left"/>
      <w:pPr>
        <w:tabs>
          <w:tab w:val="num" w:pos="927"/>
        </w:tabs>
        <w:ind w:left="567" w:firstLine="0"/>
      </w:pPr>
      <w:rPr>
        <w:rFonts w:ascii="Symbol" w:hAnsi="Symbol" w:hint="default"/>
      </w:rPr>
    </w:lvl>
  </w:abstractNum>
  <w:abstractNum w:abstractNumId="4" w15:restartNumberingAfterBreak="0">
    <w:nsid w:val="094D76A2"/>
    <w:multiLevelType w:val="hybridMultilevel"/>
    <w:tmpl w:val="D924FD5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12E5725"/>
    <w:multiLevelType w:val="hybridMultilevel"/>
    <w:tmpl w:val="D256BB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1A52BC8"/>
    <w:multiLevelType w:val="multilevel"/>
    <w:tmpl w:val="B394E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822DE"/>
    <w:multiLevelType w:val="hybridMultilevel"/>
    <w:tmpl w:val="9F60B70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6944F2D"/>
    <w:multiLevelType w:val="hybridMultilevel"/>
    <w:tmpl w:val="9190B2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75A1B19"/>
    <w:multiLevelType w:val="multilevel"/>
    <w:tmpl w:val="A01E27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F84FCD"/>
    <w:multiLevelType w:val="hybridMultilevel"/>
    <w:tmpl w:val="553A0456"/>
    <w:lvl w:ilvl="0" w:tplc="DC4A92B2">
      <w:start w:val="1"/>
      <w:numFmt w:val="decimal"/>
      <w:lvlText w:val="%1"/>
      <w:lvlJc w:val="left"/>
      <w:pPr>
        <w:ind w:left="789" w:hanging="429"/>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88662C1"/>
    <w:multiLevelType w:val="hybridMultilevel"/>
    <w:tmpl w:val="C64A76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CDC3217"/>
    <w:multiLevelType w:val="hybridMultilevel"/>
    <w:tmpl w:val="C1EE4DB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15:restartNumberingAfterBreak="0">
    <w:nsid w:val="36BD24F4"/>
    <w:multiLevelType w:val="multilevel"/>
    <w:tmpl w:val="D034D70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5C5A84"/>
    <w:multiLevelType w:val="multilevel"/>
    <w:tmpl w:val="8894FA4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86668B"/>
    <w:multiLevelType w:val="hybridMultilevel"/>
    <w:tmpl w:val="7AAA4B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C7C21D7"/>
    <w:multiLevelType w:val="hybridMultilevel"/>
    <w:tmpl w:val="ECB4515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D412380"/>
    <w:multiLevelType w:val="hybridMultilevel"/>
    <w:tmpl w:val="5C64F3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D692A0B"/>
    <w:multiLevelType w:val="hybridMultilevel"/>
    <w:tmpl w:val="2D8014F2"/>
    <w:lvl w:ilvl="0" w:tplc="1409000F">
      <w:start w:val="1"/>
      <w:numFmt w:val="decimal"/>
      <w:lvlText w:val="%1."/>
      <w:lvlJc w:val="left"/>
      <w:pPr>
        <w:ind w:left="644" w:hanging="360"/>
      </w:p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9" w15:restartNumberingAfterBreak="0">
    <w:nsid w:val="3E660D71"/>
    <w:multiLevelType w:val="singleLevel"/>
    <w:tmpl w:val="059A57DE"/>
    <w:lvl w:ilvl="0">
      <w:start w:val="1"/>
      <w:numFmt w:val="bullet"/>
      <w:pStyle w:val="Bullet"/>
      <w:lvlText w:val=""/>
      <w:lvlJc w:val="left"/>
      <w:pPr>
        <w:tabs>
          <w:tab w:val="num" w:pos="1276"/>
        </w:tabs>
        <w:ind w:left="1276" w:hanging="567"/>
      </w:pPr>
      <w:rPr>
        <w:rFonts w:ascii="Symbol" w:hAnsi="Symbol" w:hint="default"/>
        <w:sz w:val="18"/>
      </w:rPr>
    </w:lvl>
  </w:abstractNum>
  <w:abstractNum w:abstractNumId="20" w15:restartNumberingAfterBreak="0">
    <w:nsid w:val="3EBE38BB"/>
    <w:multiLevelType w:val="hybridMultilevel"/>
    <w:tmpl w:val="1492A5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3556748"/>
    <w:multiLevelType w:val="hybridMultilevel"/>
    <w:tmpl w:val="4094FCB0"/>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ED67E9"/>
    <w:multiLevelType w:val="hybridMultilevel"/>
    <w:tmpl w:val="416E6B6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76F3FD7"/>
    <w:multiLevelType w:val="hybridMultilevel"/>
    <w:tmpl w:val="DE48F4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7D442E2"/>
    <w:multiLevelType w:val="multilevel"/>
    <w:tmpl w:val="5A341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E30731"/>
    <w:multiLevelType w:val="hybridMultilevel"/>
    <w:tmpl w:val="3A0688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81B7AE8"/>
    <w:multiLevelType w:val="hybridMultilevel"/>
    <w:tmpl w:val="B5866F9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92E3459"/>
    <w:multiLevelType w:val="hybridMultilevel"/>
    <w:tmpl w:val="E7B6B7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9521E27"/>
    <w:multiLevelType w:val="hybridMultilevel"/>
    <w:tmpl w:val="046032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9A92FCC"/>
    <w:multiLevelType w:val="hybridMultilevel"/>
    <w:tmpl w:val="A26EE9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A531D56"/>
    <w:multiLevelType w:val="hybridMultilevel"/>
    <w:tmpl w:val="4B706D92"/>
    <w:lvl w:ilvl="0" w:tplc="167CFAF6">
      <w:start w:val="1"/>
      <w:numFmt w:val="decimal"/>
      <w:lvlText w:val="%1."/>
      <w:lvlJc w:val="left"/>
      <w:pPr>
        <w:ind w:left="789" w:hanging="429"/>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4B704A4A"/>
    <w:multiLevelType w:val="hybridMultilevel"/>
    <w:tmpl w:val="5BDA32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D3A7E40"/>
    <w:multiLevelType w:val="hybridMultilevel"/>
    <w:tmpl w:val="47FE2B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F8720F4"/>
    <w:multiLevelType w:val="hybridMultilevel"/>
    <w:tmpl w:val="C248E5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3860165"/>
    <w:multiLevelType w:val="hybridMultilevel"/>
    <w:tmpl w:val="500414E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53930117"/>
    <w:multiLevelType w:val="hybridMultilevel"/>
    <w:tmpl w:val="EBC6AE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4017C61"/>
    <w:multiLevelType w:val="hybridMultilevel"/>
    <w:tmpl w:val="411E69DA"/>
    <w:lvl w:ilvl="0" w:tplc="71589CE4">
      <w:start w:val="1"/>
      <w:numFmt w:val="decimal"/>
      <w:lvlText w:val="%1."/>
      <w:lvlJc w:val="left"/>
      <w:pPr>
        <w:ind w:left="789" w:hanging="429"/>
      </w:pPr>
      <w:rPr>
        <w:rFonts w:eastAsia="Times New Roman"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559F0BA4"/>
    <w:multiLevelType w:val="hybridMultilevel"/>
    <w:tmpl w:val="325C51E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8" w15:restartNumberingAfterBreak="0">
    <w:nsid w:val="566A5E5F"/>
    <w:multiLevelType w:val="hybridMultilevel"/>
    <w:tmpl w:val="47BA29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69551F8"/>
    <w:multiLevelType w:val="hybridMultilevel"/>
    <w:tmpl w:val="CC960D3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0" w15:restartNumberingAfterBreak="0">
    <w:nsid w:val="56DC6D5A"/>
    <w:multiLevelType w:val="hybridMultilevel"/>
    <w:tmpl w:val="62442940"/>
    <w:lvl w:ilvl="0" w:tplc="21FE96DE">
      <w:start w:val="5"/>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6E37EB7"/>
    <w:multiLevelType w:val="hybridMultilevel"/>
    <w:tmpl w:val="0CC413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5C9C134D"/>
    <w:multiLevelType w:val="hybridMultilevel"/>
    <w:tmpl w:val="6644937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5CB26B7A"/>
    <w:multiLevelType w:val="hybridMultilevel"/>
    <w:tmpl w:val="EF8EA7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626B6115"/>
    <w:multiLevelType w:val="hybridMultilevel"/>
    <w:tmpl w:val="7F8230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634631F0"/>
    <w:multiLevelType w:val="hybridMultilevel"/>
    <w:tmpl w:val="E5A20284"/>
    <w:lvl w:ilvl="0" w:tplc="1409000F">
      <w:start w:val="1"/>
      <w:numFmt w:val="decimal"/>
      <w:lvlText w:val="%1."/>
      <w:lvlJc w:val="left"/>
      <w:pPr>
        <w:ind w:left="1272" w:hanging="360"/>
      </w:pPr>
    </w:lvl>
    <w:lvl w:ilvl="1" w:tplc="14090019">
      <w:start w:val="1"/>
      <w:numFmt w:val="lowerLetter"/>
      <w:lvlText w:val="%2."/>
      <w:lvlJc w:val="left"/>
      <w:pPr>
        <w:ind w:left="1992" w:hanging="360"/>
      </w:pPr>
    </w:lvl>
    <w:lvl w:ilvl="2" w:tplc="1409001B" w:tentative="1">
      <w:start w:val="1"/>
      <w:numFmt w:val="lowerRoman"/>
      <w:lvlText w:val="%3."/>
      <w:lvlJc w:val="right"/>
      <w:pPr>
        <w:ind w:left="2712" w:hanging="180"/>
      </w:pPr>
    </w:lvl>
    <w:lvl w:ilvl="3" w:tplc="1409000F" w:tentative="1">
      <w:start w:val="1"/>
      <w:numFmt w:val="decimal"/>
      <w:lvlText w:val="%4."/>
      <w:lvlJc w:val="left"/>
      <w:pPr>
        <w:ind w:left="3432" w:hanging="360"/>
      </w:pPr>
    </w:lvl>
    <w:lvl w:ilvl="4" w:tplc="14090019" w:tentative="1">
      <w:start w:val="1"/>
      <w:numFmt w:val="lowerLetter"/>
      <w:lvlText w:val="%5."/>
      <w:lvlJc w:val="left"/>
      <w:pPr>
        <w:ind w:left="4152" w:hanging="360"/>
      </w:pPr>
    </w:lvl>
    <w:lvl w:ilvl="5" w:tplc="1409001B" w:tentative="1">
      <w:start w:val="1"/>
      <w:numFmt w:val="lowerRoman"/>
      <w:lvlText w:val="%6."/>
      <w:lvlJc w:val="right"/>
      <w:pPr>
        <w:ind w:left="4872" w:hanging="180"/>
      </w:pPr>
    </w:lvl>
    <w:lvl w:ilvl="6" w:tplc="1409000F" w:tentative="1">
      <w:start w:val="1"/>
      <w:numFmt w:val="decimal"/>
      <w:lvlText w:val="%7."/>
      <w:lvlJc w:val="left"/>
      <w:pPr>
        <w:ind w:left="5592" w:hanging="360"/>
      </w:pPr>
    </w:lvl>
    <w:lvl w:ilvl="7" w:tplc="14090019" w:tentative="1">
      <w:start w:val="1"/>
      <w:numFmt w:val="lowerLetter"/>
      <w:lvlText w:val="%8."/>
      <w:lvlJc w:val="left"/>
      <w:pPr>
        <w:ind w:left="6312" w:hanging="360"/>
      </w:pPr>
    </w:lvl>
    <w:lvl w:ilvl="8" w:tplc="1409001B" w:tentative="1">
      <w:start w:val="1"/>
      <w:numFmt w:val="lowerRoman"/>
      <w:lvlText w:val="%9."/>
      <w:lvlJc w:val="right"/>
      <w:pPr>
        <w:ind w:left="7032" w:hanging="180"/>
      </w:pPr>
    </w:lvl>
  </w:abstractNum>
  <w:abstractNum w:abstractNumId="46" w15:restartNumberingAfterBreak="0">
    <w:nsid w:val="640B4553"/>
    <w:multiLevelType w:val="hybridMultilevel"/>
    <w:tmpl w:val="6CFECD74"/>
    <w:lvl w:ilvl="0" w:tplc="1409000F">
      <w:start w:val="1"/>
      <w:numFmt w:val="decimal"/>
      <w:lvlText w:val="%1."/>
      <w:lvlJc w:val="left"/>
      <w:pPr>
        <w:ind w:left="999" w:hanging="360"/>
      </w:pPr>
    </w:lvl>
    <w:lvl w:ilvl="1" w:tplc="14090019" w:tentative="1">
      <w:start w:val="1"/>
      <w:numFmt w:val="lowerLetter"/>
      <w:lvlText w:val="%2."/>
      <w:lvlJc w:val="left"/>
      <w:pPr>
        <w:ind w:left="1719" w:hanging="360"/>
      </w:pPr>
    </w:lvl>
    <w:lvl w:ilvl="2" w:tplc="1409001B" w:tentative="1">
      <w:start w:val="1"/>
      <w:numFmt w:val="lowerRoman"/>
      <w:lvlText w:val="%3."/>
      <w:lvlJc w:val="right"/>
      <w:pPr>
        <w:ind w:left="2439" w:hanging="180"/>
      </w:pPr>
    </w:lvl>
    <w:lvl w:ilvl="3" w:tplc="1409000F" w:tentative="1">
      <w:start w:val="1"/>
      <w:numFmt w:val="decimal"/>
      <w:lvlText w:val="%4."/>
      <w:lvlJc w:val="left"/>
      <w:pPr>
        <w:ind w:left="3159" w:hanging="360"/>
      </w:pPr>
    </w:lvl>
    <w:lvl w:ilvl="4" w:tplc="14090019" w:tentative="1">
      <w:start w:val="1"/>
      <w:numFmt w:val="lowerLetter"/>
      <w:lvlText w:val="%5."/>
      <w:lvlJc w:val="left"/>
      <w:pPr>
        <w:ind w:left="3879" w:hanging="360"/>
      </w:pPr>
    </w:lvl>
    <w:lvl w:ilvl="5" w:tplc="1409001B" w:tentative="1">
      <w:start w:val="1"/>
      <w:numFmt w:val="lowerRoman"/>
      <w:lvlText w:val="%6."/>
      <w:lvlJc w:val="right"/>
      <w:pPr>
        <w:ind w:left="4599" w:hanging="180"/>
      </w:pPr>
    </w:lvl>
    <w:lvl w:ilvl="6" w:tplc="1409000F" w:tentative="1">
      <w:start w:val="1"/>
      <w:numFmt w:val="decimal"/>
      <w:lvlText w:val="%7."/>
      <w:lvlJc w:val="left"/>
      <w:pPr>
        <w:ind w:left="5319" w:hanging="360"/>
      </w:pPr>
    </w:lvl>
    <w:lvl w:ilvl="7" w:tplc="14090019" w:tentative="1">
      <w:start w:val="1"/>
      <w:numFmt w:val="lowerLetter"/>
      <w:lvlText w:val="%8."/>
      <w:lvlJc w:val="left"/>
      <w:pPr>
        <w:ind w:left="6039" w:hanging="360"/>
      </w:pPr>
    </w:lvl>
    <w:lvl w:ilvl="8" w:tplc="1409001B" w:tentative="1">
      <w:start w:val="1"/>
      <w:numFmt w:val="lowerRoman"/>
      <w:lvlText w:val="%9."/>
      <w:lvlJc w:val="right"/>
      <w:pPr>
        <w:ind w:left="6759" w:hanging="180"/>
      </w:pPr>
    </w:lvl>
  </w:abstractNum>
  <w:abstractNum w:abstractNumId="47" w15:restartNumberingAfterBreak="0">
    <w:nsid w:val="642C2F54"/>
    <w:multiLevelType w:val="hybridMultilevel"/>
    <w:tmpl w:val="DB4698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64B416F0"/>
    <w:multiLevelType w:val="multilevel"/>
    <w:tmpl w:val="7776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79D398D"/>
    <w:multiLevelType w:val="hybridMultilevel"/>
    <w:tmpl w:val="2DF812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68277E43"/>
    <w:multiLevelType w:val="hybridMultilevel"/>
    <w:tmpl w:val="3B047AB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6A034C83"/>
    <w:multiLevelType w:val="hybridMultilevel"/>
    <w:tmpl w:val="16ECD0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6BA56A38"/>
    <w:multiLevelType w:val="hybridMultilevel"/>
    <w:tmpl w:val="46AA5066"/>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53" w15:restartNumberingAfterBreak="0">
    <w:nsid w:val="6F9F0073"/>
    <w:multiLevelType w:val="hybridMultilevel"/>
    <w:tmpl w:val="1E424C02"/>
    <w:lvl w:ilvl="0" w:tplc="2B62CE84">
      <w:start w:val="1"/>
      <w:numFmt w:val="decimal"/>
      <w:lvlText w:val="%1"/>
      <w:lvlJc w:val="left"/>
      <w:pPr>
        <w:ind w:left="789" w:hanging="429"/>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712611AB"/>
    <w:multiLevelType w:val="hybridMultilevel"/>
    <w:tmpl w:val="1CC2A46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5" w15:restartNumberingAfterBreak="0">
    <w:nsid w:val="71644691"/>
    <w:multiLevelType w:val="hybridMultilevel"/>
    <w:tmpl w:val="CD2E0E70"/>
    <w:lvl w:ilvl="0" w:tplc="8FA6756C">
      <w:numFmt w:val="bullet"/>
      <w:pStyle w:val="BodyBullets2"/>
      <w:lvlText w:val=""/>
      <w:lvlJc w:val="left"/>
      <w:pPr>
        <w:tabs>
          <w:tab w:val="num" w:pos="1080"/>
        </w:tabs>
        <w:ind w:left="1080" w:hanging="360"/>
      </w:pPr>
      <w:rPr>
        <w:rFonts w:ascii="Symbol" w:eastAsia="SimSun" w:hAnsi="Symbol" w:cs="Times New Roman"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33A4B15"/>
    <w:multiLevelType w:val="multilevel"/>
    <w:tmpl w:val="6BA4F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83B4FD5"/>
    <w:multiLevelType w:val="hybridMultilevel"/>
    <w:tmpl w:val="C1E4E6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79004301"/>
    <w:multiLevelType w:val="hybridMultilevel"/>
    <w:tmpl w:val="9738BC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15:restartNumberingAfterBreak="0">
    <w:nsid w:val="79FB5B20"/>
    <w:multiLevelType w:val="multilevel"/>
    <w:tmpl w:val="B4444CC2"/>
    <w:lvl w:ilvl="0">
      <w:start w:val="1"/>
      <w:numFmt w:val="bullet"/>
      <w:pStyle w:val="BodyBullets"/>
      <w:lvlText w:val=""/>
      <w:lvlJc w:val="left"/>
      <w:pPr>
        <w:ind w:left="720" w:hanging="360"/>
      </w:pPr>
      <w:rPr>
        <w:rFonts w:ascii="Symbol" w:hAnsi="Symbol" w:hint="default"/>
        <w:b w:val="0"/>
        <w:i w:val="0"/>
        <w:color w:val="auto"/>
        <w:sz w:val="10"/>
        <w:szCs w:val="4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15:restartNumberingAfterBreak="0">
    <w:nsid w:val="79FC1C0C"/>
    <w:multiLevelType w:val="hybridMultilevel"/>
    <w:tmpl w:val="6464CE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7D6979EF"/>
    <w:multiLevelType w:val="hybridMultilevel"/>
    <w:tmpl w:val="35544D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2" w15:restartNumberingAfterBreak="0">
    <w:nsid w:val="7DC12AEB"/>
    <w:multiLevelType w:val="hybridMultilevel"/>
    <w:tmpl w:val="9C5ABA06"/>
    <w:lvl w:ilvl="0" w:tplc="1D689A28">
      <w:start w:val="1"/>
      <w:numFmt w:val="decimal"/>
      <w:lvlText w:val="%1"/>
      <w:lvlJc w:val="left"/>
      <w:pPr>
        <w:ind w:left="789" w:hanging="429"/>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3897260">
    <w:abstractNumId w:val="55"/>
  </w:num>
  <w:num w:numId="2" w16cid:durableId="1873615657">
    <w:abstractNumId w:val="59"/>
  </w:num>
  <w:num w:numId="3" w16cid:durableId="771164875">
    <w:abstractNumId w:val="19"/>
  </w:num>
  <w:num w:numId="4" w16cid:durableId="1676107634">
    <w:abstractNumId w:val="3"/>
  </w:num>
  <w:num w:numId="5" w16cid:durableId="528881629">
    <w:abstractNumId w:val="12"/>
  </w:num>
  <w:num w:numId="6" w16cid:durableId="453789936">
    <w:abstractNumId w:val="41"/>
  </w:num>
  <w:num w:numId="7" w16cid:durableId="1165164558">
    <w:abstractNumId w:val="35"/>
  </w:num>
  <w:num w:numId="8" w16cid:durableId="738601379">
    <w:abstractNumId w:val="30"/>
  </w:num>
  <w:num w:numId="9" w16cid:durableId="2010788501">
    <w:abstractNumId w:val="31"/>
  </w:num>
  <w:num w:numId="10" w16cid:durableId="704403693">
    <w:abstractNumId w:val="36"/>
  </w:num>
  <w:num w:numId="11" w16cid:durableId="2136556601">
    <w:abstractNumId w:val="5"/>
  </w:num>
  <w:num w:numId="12" w16cid:durableId="1851096777">
    <w:abstractNumId w:val="15"/>
  </w:num>
  <w:num w:numId="13" w16cid:durableId="1295983808">
    <w:abstractNumId w:val="40"/>
  </w:num>
  <w:num w:numId="14" w16cid:durableId="482546804">
    <w:abstractNumId w:val="18"/>
  </w:num>
  <w:num w:numId="15" w16cid:durableId="1274903176">
    <w:abstractNumId w:val="2"/>
  </w:num>
  <w:num w:numId="16" w16cid:durableId="415444112">
    <w:abstractNumId w:val="32"/>
  </w:num>
  <w:num w:numId="17" w16cid:durableId="1143545975">
    <w:abstractNumId w:val="13"/>
  </w:num>
  <w:num w:numId="18" w16cid:durableId="1586648937">
    <w:abstractNumId w:val="14"/>
  </w:num>
  <w:num w:numId="19" w16cid:durableId="1894539275">
    <w:abstractNumId w:val="38"/>
  </w:num>
  <w:num w:numId="20" w16cid:durableId="1519081533">
    <w:abstractNumId w:val="37"/>
  </w:num>
  <w:num w:numId="21" w16cid:durableId="1632976742">
    <w:abstractNumId w:val="39"/>
  </w:num>
  <w:num w:numId="22" w16cid:durableId="685405969">
    <w:abstractNumId w:val="4"/>
  </w:num>
  <w:num w:numId="23" w16cid:durableId="113906869">
    <w:abstractNumId w:val="21"/>
  </w:num>
  <w:num w:numId="24" w16cid:durableId="1522402641">
    <w:abstractNumId w:val="11"/>
  </w:num>
  <w:num w:numId="25" w16cid:durableId="1433865430">
    <w:abstractNumId w:val="8"/>
  </w:num>
  <w:num w:numId="26" w16cid:durableId="1045525296">
    <w:abstractNumId w:val="28"/>
  </w:num>
  <w:num w:numId="27" w16cid:durableId="1759279857">
    <w:abstractNumId w:val="48"/>
  </w:num>
  <w:num w:numId="28" w16cid:durableId="1791438245">
    <w:abstractNumId w:val="27"/>
  </w:num>
  <w:num w:numId="29" w16cid:durableId="1751467976">
    <w:abstractNumId w:val="53"/>
  </w:num>
  <w:num w:numId="30" w16cid:durableId="1544631278">
    <w:abstractNumId w:val="58"/>
  </w:num>
  <w:num w:numId="31" w16cid:durableId="1168787542">
    <w:abstractNumId w:val="17"/>
  </w:num>
  <w:num w:numId="32" w16cid:durableId="268127869">
    <w:abstractNumId w:val="60"/>
  </w:num>
  <w:num w:numId="33" w16cid:durableId="1846171356">
    <w:abstractNumId w:val="10"/>
  </w:num>
  <w:num w:numId="34" w16cid:durableId="1097871308">
    <w:abstractNumId w:val="50"/>
  </w:num>
  <w:num w:numId="35" w16cid:durableId="777718342">
    <w:abstractNumId w:val="24"/>
  </w:num>
  <w:num w:numId="36" w16cid:durableId="1341540144">
    <w:abstractNumId w:val="9"/>
  </w:num>
  <w:num w:numId="37" w16cid:durableId="789975070">
    <w:abstractNumId w:val="6"/>
  </w:num>
  <w:num w:numId="38" w16cid:durableId="1862433401">
    <w:abstractNumId w:val="56"/>
  </w:num>
  <w:num w:numId="39" w16cid:durableId="1270552246">
    <w:abstractNumId w:val="1"/>
  </w:num>
  <w:num w:numId="40" w16cid:durableId="629941266">
    <w:abstractNumId w:val="62"/>
  </w:num>
  <w:num w:numId="41" w16cid:durableId="1215462995">
    <w:abstractNumId w:val="7"/>
  </w:num>
  <w:num w:numId="42" w16cid:durableId="2110656065">
    <w:abstractNumId w:val="57"/>
  </w:num>
  <w:num w:numId="43" w16cid:durableId="1616596442">
    <w:abstractNumId w:val="51"/>
  </w:num>
  <w:num w:numId="44" w16cid:durableId="283343144">
    <w:abstractNumId w:val="29"/>
  </w:num>
  <w:num w:numId="45" w16cid:durableId="1080828336">
    <w:abstractNumId w:val="52"/>
  </w:num>
  <w:num w:numId="46" w16cid:durableId="1630740830">
    <w:abstractNumId w:val="26"/>
  </w:num>
  <w:num w:numId="47" w16cid:durableId="577908237">
    <w:abstractNumId w:val="44"/>
  </w:num>
  <w:num w:numId="48" w16cid:durableId="372733044">
    <w:abstractNumId w:val="43"/>
  </w:num>
  <w:num w:numId="49" w16cid:durableId="806777171">
    <w:abstractNumId w:val="16"/>
  </w:num>
  <w:num w:numId="50" w16cid:durableId="1757433701">
    <w:abstractNumId w:val="47"/>
  </w:num>
  <w:num w:numId="51" w16cid:durableId="552738807">
    <w:abstractNumId w:val="49"/>
  </w:num>
  <w:num w:numId="52" w16cid:durableId="278756733">
    <w:abstractNumId w:val="20"/>
  </w:num>
  <w:num w:numId="53" w16cid:durableId="415320608">
    <w:abstractNumId w:val="45"/>
  </w:num>
  <w:num w:numId="54" w16cid:durableId="749692789">
    <w:abstractNumId w:val="33"/>
  </w:num>
  <w:num w:numId="55" w16cid:durableId="1096169500">
    <w:abstractNumId w:val="34"/>
  </w:num>
  <w:num w:numId="56" w16cid:durableId="1756585851">
    <w:abstractNumId w:val="0"/>
  </w:num>
  <w:num w:numId="57" w16cid:durableId="666708552">
    <w:abstractNumId w:val="22"/>
  </w:num>
  <w:num w:numId="58" w16cid:durableId="1553734913">
    <w:abstractNumId w:val="46"/>
  </w:num>
  <w:num w:numId="59" w16cid:durableId="957953242">
    <w:abstractNumId w:val="42"/>
  </w:num>
  <w:num w:numId="60" w16cid:durableId="1023901422">
    <w:abstractNumId w:val="23"/>
  </w:num>
  <w:num w:numId="61" w16cid:durableId="1445731438">
    <w:abstractNumId w:val="54"/>
  </w:num>
  <w:num w:numId="62" w16cid:durableId="808323662">
    <w:abstractNumId w:val="25"/>
  </w:num>
  <w:num w:numId="63" w16cid:durableId="508981024">
    <w:abstractNumId w:val="6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0F8"/>
    <w:rsid w:val="000001CC"/>
    <w:rsid w:val="00000BE2"/>
    <w:rsid w:val="00001C6A"/>
    <w:rsid w:val="00002D0C"/>
    <w:rsid w:val="00004B30"/>
    <w:rsid w:val="000053F6"/>
    <w:rsid w:val="00005443"/>
    <w:rsid w:val="000105A7"/>
    <w:rsid w:val="00012101"/>
    <w:rsid w:val="000121CC"/>
    <w:rsid w:val="00012C5C"/>
    <w:rsid w:val="000134B9"/>
    <w:rsid w:val="00013B6E"/>
    <w:rsid w:val="0001598E"/>
    <w:rsid w:val="000177D1"/>
    <w:rsid w:val="0001796D"/>
    <w:rsid w:val="00021DFF"/>
    <w:rsid w:val="000225D3"/>
    <w:rsid w:val="000230AD"/>
    <w:rsid w:val="00024C63"/>
    <w:rsid w:val="00030914"/>
    <w:rsid w:val="000313A3"/>
    <w:rsid w:val="0003166C"/>
    <w:rsid w:val="0003523A"/>
    <w:rsid w:val="000358F8"/>
    <w:rsid w:val="00036E48"/>
    <w:rsid w:val="00036F37"/>
    <w:rsid w:val="0004072C"/>
    <w:rsid w:val="0004090A"/>
    <w:rsid w:val="000412C5"/>
    <w:rsid w:val="00042E8E"/>
    <w:rsid w:val="000433F1"/>
    <w:rsid w:val="000434E7"/>
    <w:rsid w:val="00043674"/>
    <w:rsid w:val="00044373"/>
    <w:rsid w:val="00044969"/>
    <w:rsid w:val="00044EA2"/>
    <w:rsid w:val="0004515C"/>
    <w:rsid w:val="0004574A"/>
    <w:rsid w:val="000457C1"/>
    <w:rsid w:val="000466D3"/>
    <w:rsid w:val="00047691"/>
    <w:rsid w:val="00050306"/>
    <w:rsid w:val="00050B2A"/>
    <w:rsid w:val="000528CB"/>
    <w:rsid w:val="00052BA4"/>
    <w:rsid w:val="000530A1"/>
    <w:rsid w:val="00053FC8"/>
    <w:rsid w:val="0005453C"/>
    <w:rsid w:val="0005521F"/>
    <w:rsid w:val="00055A36"/>
    <w:rsid w:val="00056AD1"/>
    <w:rsid w:val="0006030B"/>
    <w:rsid w:val="00062520"/>
    <w:rsid w:val="0006355E"/>
    <w:rsid w:val="000637E3"/>
    <w:rsid w:val="0006406D"/>
    <w:rsid w:val="000646E9"/>
    <w:rsid w:val="00064DCF"/>
    <w:rsid w:val="00064E98"/>
    <w:rsid w:val="00065200"/>
    <w:rsid w:val="00065862"/>
    <w:rsid w:val="000659F4"/>
    <w:rsid w:val="00065A3E"/>
    <w:rsid w:val="00067981"/>
    <w:rsid w:val="000702E2"/>
    <w:rsid w:val="000714D9"/>
    <w:rsid w:val="000743E8"/>
    <w:rsid w:val="00074F41"/>
    <w:rsid w:val="00075478"/>
    <w:rsid w:val="0007601A"/>
    <w:rsid w:val="000775A5"/>
    <w:rsid w:val="00077D69"/>
    <w:rsid w:val="00080D35"/>
    <w:rsid w:val="00081283"/>
    <w:rsid w:val="00082CDB"/>
    <w:rsid w:val="000852AA"/>
    <w:rsid w:val="00086202"/>
    <w:rsid w:val="00086622"/>
    <w:rsid w:val="0008718A"/>
    <w:rsid w:val="000878C3"/>
    <w:rsid w:val="00087A81"/>
    <w:rsid w:val="00087DFA"/>
    <w:rsid w:val="00092692"/>
    <w:rsid w:val="00092924"/>
    <w:rsid w:val="00092AAA"/>
    <w:rsid w:val="00094B32"/>
    <w:rsid w:val="00095243"/>
    <w:rsid w:val="00095962"/>
    <w:rsid w:val="00096003"/>
    <w:rsid w:val="00096D50"/>
    <w:rsid w:val="000976EA"/>
    <w:rsid w:val="000977E5"/>
    <w:rsid w:val="000A05EC"/>
    <w:rsid w:val="000A13D8"/>
    <w:rsid w:val="000A1408"/>
    <w:rsid w:val="000A1C3E"/>
    <w:rsid w:val="000A329E"/>
    <w:rsid w:val="000A66BC"/>
    <w:rsid w:val="000A67E3"/>
    <w:rsid w:val="000B0005"/>
    <w:rsid w:val="000B0C11"/>
    <w:rsid w:val="000B28A1"/>
    <w:rsid w:val="000B3A3A"/>
    <w:rsid w:val="000B3D16"/>
    <w:rsid w:val="000B4371"/>
    <w:rsid w:val="000B5CF5"/>
    <w:rsid w:val="000C0062"/>
    <w:rsid w:val="000C00E6"/>
    <w:rsid w:val="000C0A9F"/>
    <w:rsid w:val="000C1B55"/>
    <w:rsid w:val="000C1D87"/>
    <w:rsid w:val="000C2233"/>
    <w:rsid w:val="000C23FF"/>
    <w:rsid w:val="000C252F"/>
    <w:rsid w:val="000C3D17"/>
    <w:rsid w:val="000C3F1F"/>
    <w:rsid w:val="000C7987"/>
    <w:rsid w:val="000D1466"/>
    <w:rsid w:val="000D2F40"/>
    <w:rsid w:val="000D3621"/>
    <w:rsid w:val="000D4262"/>
    <w:rsid w:val="000D5DA7"/>
    <w:rsid w:val="000D663F"/>
    <w:rsid w:val="000D739A"/>
    <w:rsid w:val="000D7492"/>
    <w:rsid w:val="000E241C"/>
    <w:rsid w:val="000E3725"/>
    <w:rsid w:val="000E5F96"/>
    <w:rsid w:val="000E63C7"/>
    <w:rsid w:val="000E67DF"/>
    <w:rsid w:val="000E6821"/>
    <w:rsid w:val="000E6BD1"/>
    <w:rsid w:val="000E7300"/>
    <w:rsid w:val="000F00B2"/>
    <w:rsid w:val="000F0228"/>
    <w:rsid w:val="000F1397"/>
    <w:rsid w:val="000F1525"/>
    <w:rsid w:val="000F1EC8"/>
    <w:rsid w:val="000F2084"/>
    <w:rsid w:val="000F27F0"/>
    <w:rsid w:val="000F2BF1"/>
    <w:rsid w:val="000F306A"/>
    <w:rsid w:val="00100570"/>
    <w:rsid w:val="0010175C"/>
    <w:rsid w:val="00102265"/>
    <w:rsid w:val="00103512"/>
    <w:rsid w:val="00104151"/>
    <w:rsid w:val="00104A2B"/>
    <w:rsid w:val="00105E9C"/>
    <w:rsid w:val="0010607A"/>
    <w:rsid w:val="00106344"/>
    <w:rsid w:val="00107083"/>
    <w:rsid w:val="00110457"/>
    <w:rsid w:val="001117E8"/>
    <w:rsid w:val="00113AB7"/>
    <w:rsid w:val="001143FC"/>
    <w:rsid w:val="0011468B"/>
    <w:rsid w:val="00115192"/>
    <w:rsid w:val="001162BC"/>
    <w:rsid w:val="00116F08"/>
    <w:rsid w:val="00117C83"/>
    <w:rsid w:val="00121696"/>
    <w:rsid w:val="0012206C"/>
    <w:rsid w:val="00122B4E"/>
    <w:rsid w:val="00122BC3"/>
    <w:rsid w:val="00123A90"/>
    <w:rsid w:val="001249FA"/>
    <w:rsid w:val="00124D5A"/>
    <w:rsid w:val="00125773"/>
    <w:rsid w:val="00125C50"/>
    <w:rsid w:val="001267FB"/>
    <w:rsid w:val="00127877"/>
    <w:rsid w:val="00130022"/>
    <w:rsid w:val="0013074E"/>
    <w:rsid w:val="001343CC"/>
    <w:rsid w:val="00134C14"/>
    <w:rsid w:val="001350B1"/>
    <w:rsid w:val="0013518B"/>
    <w:rsid w:val="001358DF"/>
    <w:rsid w:val="0013638E"/>
    <w:rsid w:val="001378C5"/>
    <w:rsid w:val="00137F36"/>
    <w:rsid w:val="00143CB8"/>
    <w:rsid w:val="00144422"/>
    <w:rsid w:val="00145875"/>
    <w:rsid w:val="00145EB5"/>
    <w:rsid w:val="00146861"/>
    <w:rsid w:val="001469D6"/>
    <w:rsid w:val="001470F4"/>
    <w:rsid w:val="00147C74"/>
    <w:rsid w:val="00150214"/>
    <w:rsid w:val="00150CBF"/>
    <w:rsid w:val="00150DEB"/>
    <w:rsid w:val="00152109"/>
    <w:rsid w:val="00152B73"/>
    <w:rsid w:val="00152D09"/>
    <w:rsid w:val="00152D74"/>
    <w:rsid w:val="00153D55"/>
    <w:rsid w:val="00153FD9"/>
    <w:rsid w:val="0015412D"/>
    <w:rsid w:val="00154D74"/>
    <w:rsid w:val="00155A4F"/>
    <w:rsid w:val="001563A4"/>
    <w:rsid w:val="00156AB3"/>
    <w:rsid w:val="00157D9A"/>
    <w:rsid w:val="001604F7"/>
    <w:rsid w:val="00161A99"/>
    <w:rsid w:val="00162707"/>
    <w:rsid w:val="001627F4"/>
    <w:rsid w:val="00162B4A"/>
    <w:rsid w:val="00163A69"/>
    <w:rsid w:val="00164086"/>
    <w:rsid w:val="00166A26"/>
    <w:rsid w:val="001674F6"/>
    <w:rsid w:val="00167B27"/>
    <w:rsid w:val="001713E1"/>
    <w:rsid w:val="00172E85"/>
    <w:rsid w:val="001730F3"/>
    <w:rsid w:val="001732A8"/>
    <w:rsid w:val="001732F8"/>
    <w:rsid w:val="00173963"/>
    <w:rsid w:val="00174C36"/>
    <w:rsid w:val="00175256"/>
    <w:rsid w:val="001757B1"/>
    <w:rsid w:val="0017595F"/>
    <w:rsid w:val="00176328"/>
    <w:rsid w:val="00176AEF"/>
    <w:rsid w:val="00176DB7"/>
    <w:rsid w:val="00177120"/>
    <w:rsid w:val="0018204B"/>
    <w:rsid w:val="00184DD5"/>
    <w:rsid w:val="00184DF5"/>
    <w:rsid w:val="00185F55"/>
    <w:rsid w:val="00187E85"/>
    <w:rsid w:val="0019001D"/>
    <w:rsid w:val="001914B9"/>
    <w:rsid w:val="00191EED"/>
    <w:rsid w:val="00192ADC"/>
    <w:rsid w:val="001940CA"/>
    <w:rsid w:val="001942A7"/>
    <w:rsid w:val="00194C6D"/>
    <w:rsid w:val="00195526"/>
    <w:rsid w:val="00195B8F"/>
    <w:rsid w:val="00195D0C"/>
    <w:rsid w:val="001962EB"/>
    <w:rsid w:val="00196784"/>
    <w:rsid w:val="0019713B"/>
    <w:rsid w:val="0019755C"/>
    <w:rsid w:val="00197984"/>
    <w:rsid w:val="001A0C92"/>
    <w:rsid w:val="001A0FA0"/>
    <w:rsid w:val="001A1451"/>
    <w:rsid w:val="001A1DAD"/>
    <w:rsid w:val="001A21EC"/>
    <w:rsid w:val="001A2F3C"/>
    <w:rsid w:val="001A51E8"/>
    <w:rsid w:val="001A64E3"/>
    <w:rsid w:val="001A65BC"/>
    <w:rsid w:val="001A6CBD"/>
    <w:rsid w:val="001A7400"/>
    <w:rsid w:val="001A7444"/>
    <w:rsid w:val="001B0172"/>
    <w:rsid w:val="001B0340"/>
    <w:rsid w:val="001B03BD"/>
    <w:rsid w:val="001B0877"/>
    <w:rsid w:val="001B0E46"/>
    <w:rsid w:val="001B10DA"/>
    <w:rsid w:val="001B28F1"/>
    <w:rsid w:val="001B35D0"/>
    <w:rsid w:val="001B3A67"/>
    <w:rsid w:val="001B4283"/>
    <w:rsid w:val="001B4F29"/>
    <w:rsid w:val="001B5EE7"/>
    <w:rsid w:val="001B648A"/>
    <w:rsid w:val="001B6A9A"/>
    <w:rsid w:val="001B75C5"/>
    <w:rsid w:val="001C0DAA"/>
    <w:rsid w:val="001C1D40"/>
    <w:rsid w:val="001C216B"/>
    <w:rsid w:val="001C23B1"/>
    <w:rsid w:val="001C304C"/>
    <w:rsid w:val="001C573A"/>
    <w:rsid w:val="001C5BDB"/>
    <w:rsid w:val="001C671B"/>
    <w:rsid w:val="001C6CDF"/>
    <w:rsid w:val="001C78D3"/>
    <w:rsid w:val="001C7D13"/>
    <w:rsid w:val="001D14A6"/>
    <w:rsid w:val="001D17F4"/>
    <w:rsid w:val="001D27A9"/>
    <w:rsid w:val="001D29D1"/>
    <w:rsid w:val="001D2CB6"/>
    <w:rsid w:val="001D396A"/>
    <w:rsid w:val="001D40BC"/>
    <w:rsid w:val="001D4671"/>
    <w:rsid w:val="001D4E9B"/>
    <w:rsid w:val="001D5F9F"/>
    <w:rsid w:val="001D68EA"/>
    <w:rsid w:val="001D6FCD"/>
    <w:rsid w:val="001D771A"/>
    <w:rsid w:val="001E0460"/>
    <w:rsid w:val="001E31E1"/>
    <w:rsid w:val="001E33B8"/>
    <w:rsid w:val="001E38FC"/>
    <w:rsid w:val="001E4833"/>
    <w:rsid w:val="001E6367"/>
    <w:rsid w:val="001E6A20"/>
    <w:rsid w:val="001E6CE0"/>
    <w:rsid w:val="001E7675"/>
    <w:rsid w:val="001F08D2"/>
    <w:rsid w:val="001F0DAF"/>
    <w:rsid w:val="001F2643"/>
    <w:rsid w:val="001F3395"/>
    <w:rsid w:val="001F3F97"/>
    <w:rsid w:val="001F43AC"/>
    <w:rsid w:val="001F4D38"/>
    <w:rsid w:val="001F4DF5"/>
    <w:rsid w:val="001F5B30"/>
    <w:rsid w:val="001F654F"/>
    <w:rsid w:val="001F7349"/>
    <w:rsid w:val="001F7736"/>
    <w:rsid w:val="001F7ACC"/>
    <w:rsid w:val="00201F31"/>
    <w:rsid w:val="00202698"/>
    <w:rsid w:val="0020306B"/>
    <w:rsid w:val="00203BEB"/>
    <w:rsid w:val="002042D2"/>
    <w:rsid w:val="0020555F"/>
    <w:rsid w:val="002058F2"/>
    <w:rsid w:val="00205BEC"/>
    <w:rsid w:val="00206145"/>
    <w:rsid w:val="00206822"/>
    <w:rsid w:val="002076C5"/>
    <w:rsid w:val="00207C6F"/>
    <w:rsid w:val="00210283"/>
    <w:rsid w:val="00210795"/>
    <w:rsid w:val="00213B2C"/>
    <w:rsid w:val="00213FB5"/>
    <w:rsid w:val="00214585"/>
    <w:rsid w:val="00214C84"/>
    <w:rsid w:val="0021652C"/>
    <w:rsid w:val="0021761A"/>
    <w:rsid w:val="00217E47"/>
    <w:rsid w:val="002208B9"/>
    <w:rsid w:val="00221091"/>
    <w:rsid w:val="0022136B"/>
    <w:rsid w:val="00222971"/>
    <w:rsid w:val="002234C7"/>
    <w:rsid w:val="00224B94"/>
    <w:rsid w:val="00226917"/>
    <w:rsid w:val="002302D1"/>
    <w:rsid w:val="002316E6"/>
    <w:rsid w:val="00231B35"/>
    <w:rsid w:val="002320F9"/>
    <w:rsid w:val="0023352C"/>
    <w:rsid w:val="00233B29"/>
    <w:rsid w:val="00233EB6"/>
    <w:rsid w:val="002356DC"/>
    <w:rsid w:val="002406FC"/>
    <w:rsid w:val="00240844"/>
    <w:rsid w:val="00240A6D"/>
    <w:rsid w:val="002416B2"/>
    <w:rsid w:val="00241C05"/>
    <w:rsid w:val="00241C48"/>
    <w:rsid w:val="00241F90"/>
    <w:rsid w:val="002421CF"/>
    <w:rsid w:val="00244998"/>
    <w:rsid w:val="00246180"/>
    <w:rsid w:val="00251DFA"/>
    <w:rsid w:val="0025259C"/>
    <w:rsid w:val="00252A56"/>
    <w:rsid w:val="00253994"/>
    <w:rsid w:val="00254600"/>
    <w:rsid w:val="00254653"/>
    <w:rsid w:val="002557C4"/>
    <w:rsid w:val="00256B87"/>
    <w:rsid w:val="0025793E"/>
    <w:rsid w:val="00257B5D"/>
    <w:rsid w:val="00260038"/>
    <w:rsid w:val="002618DD"/>
    <w:rsid w:val="00261E6D"/>
    <w:rsid w:val="0026206D"/>
    <w:rsid w:val="00262C66"/>
    <w:rsid w:val="00263946"/>
    <w:rsid w:val="00263963"/>
    <w:rsid w:val="002640A5"/>
    <w:rsid w:val="0026442E"/>
    <w:rsid w:val="002646F7"/>
    <w:rsid w:val="002663FF"/>
    <w:rsid w:val="00266492"/>
    <w:rsid w:val="00266BA2"/>
    <w:rsid w:val="00267F65"/>
    <w:rsid w:val="00270730"/>
    <w:rsid w:val="00270E5C"/>
    <w:rsid w:val="00272563"/>
    <w:rsid w:val="00272D28"/>
    <w:rsid w:val="00273638"/>
    <w:rsid w:val="00274160"/>
    <w:rsid w:val="0027531D"/>
    <w:rsid w:val="00275CA9"/>
    <w:rsid w:val="002762B7"/>
    <w:rsid w:val="00282FBB"/>
    <w:rsid w:val="00284FB3"/>
    <w:rsid w:val="002858C9"/>
    <w:rsid w:val="00285C6A"/>
    <w:rsid w:val="00286906"/>
    <w:rsid w:val="00287604"/>
    <w:rsid w:val="002913E4"/>
    <w:rsid w:val="00291614"/>
    <w:rsid w:val="002949A8"/>
    <w:rsid w:val="00294AFF"/>
    <w:rsid w:val="00295DC5"/>
    <w:rsid w:val="002960B2"/>
    <w:rsid w:val="00297F5B"/>
    <w:rsid w:val="002A0408"/>
    <w:rsid w:val="002A06E2"/>
    <w:rsid w:val="002A1253"/>
    <w:rsid w:val="002A1437"/>
    <w:rsid w:val="002A1740"/>
    <w:rsid w:val="002A26FC"/>
    <w:rsid w:val="002A2DBE"/>
    <w:rsid w:val="002A354B"/>
    <w:rsid w:val="002A4489"/>
    <w:rsid w:val="002A53BE"/>
    <w:rsid w:val="002A5CAE"/>
    <w:rsid w:val="002A5F8F"/>
    <w:rsid w:val="002A7228"/>
    <w:rsid w:val="002B0B9A"/>
    <w:rsid w:val="002B20EF"/>
    <w:rsid w:val="002B2138"/>
    <w:rsid w:val="002B2338"/>
    <w:rsid w:val="002B23FD"/>
    <w:rsid w:val="002B2A6A"/>
    <w:rsid w:val="002B3208"/>
    <w:rsid w:val="002B3404"/>
    <w:rsid w:val="002B3C62"/>
    <w:rsid w:val="002B4123"/>
    <w:rsid w:val="002B54CE"/>
    <w:rsid w:val="002B5ED6"/>
    <w:rsid w:val="002B7A57"/>
    <w:rsid w:val="002C0549"/>
    <w:rsid w:val="002C0D56"/>
    <w:rsid w:val="002C2CF6"/>
    <w:rsid w:val="002C35AB"/>
    <w:rsid w:val="002C4479"/>
    <w:rsid w:val="002C4B3B"/>
    <w:rsid w:val="002C5091"/>
    <w:rsid w:val="002C5856"/>
    <w:rsid w:val="002C5A1E"/>
    <w:rsid w:val="002C5FAA"/>
    <w:rsid w:val="002C6580"/>
    <w:rsid w:val="002C70BB"/>
    <w:rsid w:val="002C720C"/>
    <w:rsid w:val="002D214C"/>
    <w:rsid w:val="002D23B4"/>
    <w:rsid w:val="002D2AC8"/>
    <w:rsid w:val="002D2BF0"/>
    <w:rsid w:val="002D3BA1"/>
    <w:rsid w:val="002D485D"/>
    <w:rsid w:val="002D537F"/>
    <w:rsid w:val="002D588F"/>
    <w:rsid w:val="002D5A47"/>
    <w:rsid w:val="002D66FD"/>
    <w:rsid w:val="002D67DA"/>
    <w:rsid w:val="002D6AB8"/>
    <w:rsid w:val="002D7050"/>
    <w:rsid w:val="002D7977"/>
    <w:rsid w:val="002E1430"/>
    <w:rsid w:val="002E1F4E"/>
    <w:rsid w:val="002E29B7"/>
    <w:rsid w:val="002E2DC9"/>
    <w:rsid w:val="002E2DF8"/>
    <w:rsid w:val="002E4673"/>
    <w:rsid w:val="002E4B7B"/>
    <w:rsid w:val="002E5F32"/>
    <w:rsid w:val="002F05E3"/>
    <w:rsid w:val="002F1241"/>
    <w:rsid w:val="002F1264"/>
    <w:rsid w:val="002F3B03"/>
    <w:rsid w:val="002F4F34"/>
    <w:rsid w:val="002F6498"/>
    <w:rsid w:val="002F72AA"/>
    <w:rsid w:val="00300F9D"/>
    <w:rsid w:val="00302C6E"/>
    <w:rsid w:val="003044F3"/>
    <w:rsid w:val="00304ED2"/>
    <w:rsid w:val="00305D81"/>
    <w:rsid w:val="00305FD4"/>
    <w:rsid w:val="00310E2B"/>
    <w:rsid w:val="003116D4"/>
    <w:rsid w:val="00311804"/>
    <w:rsid w:val="0031184F"/>
    <w:rsid w:val="00313336"/>
    <w:rsid w:val="0031373F"/>
    <w:rsid w:val="00314C73"/>
    <w:rsid w:val="0031523D"/>
    <w:rsid w:val="0031563C"/>
    <w:rsid w:val="00315BF3"/>
    <w:rsid w:val="00316110"/>
    <w:rsid w:val="003166EF"/>
    <w:rsid w:val="003169B6"/>
    <w:rsid w:val="00316D2F"/>
    <w:rsid w:val="003172B0"/>
    <w:rsid w:val="0031750A"/>
    <w:rsid w:val="00320C0C"/>
    <w:rsid w:val="0032106A"/>
    <w:rsid w:val="003222F4"/>
    <w:rsid w:val="003231E8"/>
    <w:rsid w:val="0032494C"/>
    <w:rsid w:val="003258F6"/>
    <w:rsid w:val="003270E7"/>
    <w:rsid w:val="0032736D"/>
    <w:rsid w:val="00330BAC"/>
    <w:rsid w:val="003315F1"/>
    <w:rsid w:val="003332DB"/>
    <w:rsid w:val="0033333E"/>
    <w:rsid w:val="0033356E"/>
    <w:rsid w:val="00333F0B"/>
    <w:rsid w:val="0033503C"/>
    <w:rsid w:val="00335548"/>
    <w:rsid w:val="00335708"/>
    <w:rsid w:val="00335AA8"/>
    <w:rsid w:val="003367FD"/>
    <w:rsid w:val="003373A6"/>
    <w:rsid w:val="00337EDB"/>
    <w:rsid w:val="0034083C"/>
    <w:rsid w:val="00340A81"/>
    <w:rsid w:val="00341B5D"/>
    <w:rsid w:val="00342916"/>
    <w:rsid w:val="00344BB2"/>
    <w:rsid w:val="00345FD7"/>
    <w:rsid w:val="003462F3"/>
    <w:rsid w:val="00347949"/>
    <w:rsid w:val="003513EF"/>
    <w:rsid w:val="003515A7"/>
    <w:rsid w:val="00351BFA"/>
    <w:rsid w:val="00352C13"/>
    <w:rsid w:val="00352DAB"/>
    <w:rsid w:val="0035492D"/>
    <w:rsid w:val="00354BEF"/>
    <w:rsid w:val="003554E5"/>
    <w:rsid w:val="00355BAF"/>
    <w:rsid w:val="00356473"/>
    <w:rsid w:val="00356AB9"/>
    <w:rsid w:val="00356B7C"/>
    <w:rsid w:val="0035737B"/>
    <w:rsid w:val="00360077"/>
    <w:rsid w:val="00360520"/>
    <w:rsid w:val="0036340B"/>
    <w:rsid w:val="0036422B"/>
    <w:rsid w:val="00364525"/>
    <w:rsid w:val="00364AD8"/>
    <w:rsid w:val="003655CE"/>
    <w:rsid w:val="0036576D"/>
    <w:rsid w:val="003660A7"/>
    <w:rsid w:val="003668B9"/>
    <w:rsid w:val="00366ED6"/>
    <w:rsid w:val="003674DA"/>
    <w:rsid w:val="00370955"/>
    <w:rsid w:val="00371FBC"/>
    <w:rsid w:val="003720E9"/>
    <w:rsid w:val="003720EC"/>
    <w:rsid w:val="0037217B"/>
    <w:rsid w:val="00372429"/>
    <w:rsid w:val="00372870"/>
    <w:rsid w:val="00373BB9"/>
    <w:rsid w:val="00373F92"/>
    <w:rsid w:val="003744D7"/>
    <w:rsid w:val="003749A0"/>
    <w:rsid w:val="00374E3C"/>
    <w:rsid w:val="00375A54"/>
    <w:rsid w:val="0038032B"/>
    <w:rsid w:val="00380D64"/>
    <w:rsid w:val="00381894"/>
    <w:rsid w:val="00382DF8"/>
    <w:rsid w:val="0038319C"/>
    <w:rsid w:val="00383262"/>
    <w:rsid w:val="003835CD"/>
    <w:rsid w:val="00383F15"/>
    <w:rsid w:val="00384536"/>
    <w:rsid w:val="003850A1"/>
    <w:rsid w:val="003853DB"/>
    <w:rsid w:val="00385998"/>
    <w:rsid w:val="0038637F"/>
    <w:rsid w:val="0038693D"/>
    <w:rsid w:val="003901C6"/>
    <w:rsid w:val="003946B7"/>
    <w:rsid w:val="003959BE"/>
    <w:rsid w:val="00395B7B"/>
    <w:rsid w:val="00395EBA"/>
    <w:rsid w:val="00396490"/>
    <w:rsid w:val="00396AF6"/>
    <w:rsid w:val="003A01F4"/>
    <w:rsid w:val="003A1288"/>
    <w:rsid w:val="003A1F79"/>
    <w:rsid w:val="003A3B85"/>
    <w:rsid w:val="003A3DD2"/>
    <w:rsid w:val="003A3EDB"/>
    <w:rsid w:val="003A74CB"/>
    <w:rsid w:val="003A765B"/>
    <w:rsid w:val="003A7908"/>
    <w:rsid w:val="003A7EF1"/>
    <w:rsid w:val="003B03D1"/>
    <w:rsid w:val="003B0EDF"/>
    <w:rsid w:val="003B17F5"/>
    <w:rsid w:val="003B1A52"/>
    <w:rsid w:val="003B1A89"/>
    <w:rsid w:val="003B1E56"/>
    <w:rsid w:val="003B1F6D"/>
    <w:rsid w:val="003B3948"/>
    <w:rsid w:val="003C0B5B"/>
    <w:rsid w:val="003C15F0"/>
    <w:rsid w:val="003C1C8B"/>
    <w:rsid w:val="003C24D0"/>
    <w:rsid w:val="003C2B18"/>
    <w:rsid w:val="003C3A5F"/>
    <w:rsid w:val="003C45B7"/>
    <w:rsid w:val="003C5731"/>
    <w:rsid w:val="003C631C"/>
    <w:rsid w:val="003C6437"/>
    <w:rsid w:val="003C7954"/>
    <w:rsid w:val="003C7CDF"/>
    <w:rsid w:val="003D24FC"/>
    <w:rsid w:val="003D3D49"/>
    <w:rsid w:val="003D5BBB"/>
    <w:rsid w:val="003E0418"/>
    <w:rsid w:val="003E0A9D"/>
    <w:rsid w:val="003E159C"/>
    <w:rsid w:val="003E19A5"/>
    <w:rsid w:val="003E32D9"/>
    <w:rsid w:val="003E3A74"/>
    <w:rsid w:val="003E51BF"/>
    <w:rsid w:val="003E537E"/>
    <w:rsid w:val="003E5644"/>
    <w:rsid w:val="003E58BA"/>
    <w:rsid w:val="003E7E71"/>
    <w:rsid w:val="003E7E8C"/>
    <w:rsid w:val="003F1769"/>
    <w:rsid w:val="003F27CB"/>
    <w:rsid w:val="003F2F0D"/>
    <w:rsid w:val="003F3D4B"/>
    <w:rsid w:val="003F3D54"/>
    <w:rsid w:val="003F4AAB"/>
    <w:rsid w:val="003F4FDE"/>
    <w:rsid w:val="003F5032"/>
    <w:rsid w:val="003F61F2"/>
    <w:rsid w:val="003F68EF"/>
    <w:rsid w:val="003F6EE7"/>
    <w:rsid w:val="003F7188"/>
    <w:rsid w:val="003F7189"/>
    <w:rsid w:val="003F760C"/>
    <w:rsid w:val="00400861"/>
    <w:rsid w:val="00400A3C"/>
    <w:rsid w:val="0040152E"/>
    <w:rsid w:val="004015C0"/>
    <w:rsid w:val="00402A50"/>
    <w:rsid w:val="00402AD0"/>
    <w:rsid w:val="00402EBF"/>
    <w:rsid w:val="00403EAB"/>
    <w:rsid w:val="00405CD8"/>
    <w:rsid w:val="004065A5"/>
    <w:rsid w:val="00406989"/>
    <w:rsid w:val="00406F55"/>
    <w:rsid w:val="00406F6B"/>
    <w:rsid w:val="004077EB"/>
    <w:rsid w:val="00407BF5"/>
    <w:rsid w:val="004121C9"/>
    <w:rsid w:val="0041268A"/>
    <w:rsid w:val="004146DF"/>
    <w:rsid w:val="00415138"/>
    <w:rsid w:val="00415812"/>
    <w:rsid w:val="00415BAC"/>
    <w:rsid w:val="004165D9"/>
    <w:rsid w:val="004176C8"/>
    <w:rsid w:val="004178AA"/>
    <w:rsid w:val="00417C37"/>
    <w:rsid w:val="004201BB"/>
    <w:rsid w:val="00420229"/>
    <w:rsid w:val="00420A3A"/>
    <w:rsid w:val="00421825"/>
    <w:rsid w:val="00423470"/>
    <w:rsid w:val="0042367B"/>
    <w:rsid w:val="004236DE"/>
    <w:rsid w:val="0042417D"/>
    <w:rsid w:val="0042420C"/>
    <w:rsid w:val="00424996"/>
    <w:rsid w:val="00425087"/>
    <w:rsid w:val="004250E3"/>
    <w:rsid w:val="00426B10"/>
    <w:rsid w:val="004273EA"/>
    <w:rsid w:val="00427594"/>
    <w:rsid w:val="0043046D"/>
    <w:rsid w:val="0043285C"/>
    <w:rsid w:val="00432C05"/>
    <w:rsid w:val="00434714"/>
    <w:rsid w:val="00435B32"/>
    <w:rsid w:val="00436349"/>
    <w:rsid w:val="00436435"/>
    <w:rsid w:val="004365A6"/>
    <w:rsid w:val="00437255"/>
    <w:rsid w:val="004374EE"/>
    <w:rsid w:val="00437EF7"/>
    <w:rsid w:val="00441E97"/>
    <w:rsid w:val="004427A8"/>
    <w:rsid w:val="00443C6B"/>
    <w:rsid w:val="00444787"/>
    <w:rsid w:val="0044707C"/>
    <w:rsid w:val="00447175"/>
    <w:rsid w:val="00447C13"/>
    <w:rsid w:val="00447D9A"/>
    <w:rsid w:val="00450908"/>
    <w:rsid w:val="00450C59"/>
    <w:rsid w:val="0045190E"/>
    <w:rsid w:val="00451FD1"/>
    <w:rsid w:val="0045373C"/>
    <w:rsid w:val="00453F39"/>
    <w:rsid w:val="00454003"/>
    <w:rsid w:val="00454287"/>
    <w:rsid w:val="00454326"/>
    <w:rsid w:val="004547A0"/>
    <w:rsid w:val="004548D4"/>
    <w:rsid w:val="00454951"/>
    <w:rsid w:val="00454BB3"/>
    <w:rsid w:val="00454EA0"/>
    <w:rsid w:val="00455A53"/>
    <w:rsid w:val="00456DCE"/>
    <w:rsid w:val="0046155A"/>
    <w:rsid w:val="00462E36"/>
    <w:rsid w:val="00462EF8"/>
    <w:rsid w:val="004638AF"/>
    <w:rsid w:val="00464B2D"/>
    <w:rsid w:val="004654F0"/>
    <w:rsid w:val="004669D2"/>
    <w:rsid w:val="004675D3"/>
    <w:rsid w:val="00467FE6"/>
    <w:rsid w:val="004705DC"/>
    <w:rsid w:val="00470B25"/>
    <w:rsid w:val="00470EB6"/>
    <w:rsid w:val="00470F8E"/>
    <w:rsid w:val="00472E72"/>
    <w:rsid w:val="00473E46"/>
    <w:rsid w:val="004762FC"/>
    <w:rsid w:val="004770FF"/>
    <w:rsid w:val="00477317"/>
    <w:rsid w:val="004811F7"/>
    <w:rsid w:val="004823E3"/>
    <w:rsid w:val="004829A9"/>
    <w:rsid w:val="00482A1D"/>
    <w:rsid w:val="00483087"/>
    <w:rsid w:val="00483189"/>
    <w:rsid w:val="0048344C"/>
    <w:rsid w:val="0048362F"/>
    <w:rsid w:val="004838C2"/>
    <w:rsid w:val="00483D0E"/>
    <w:rsid w:val="00484D99"/>
    <w:rsid w:val="00484FB9"/>
    <w:rsid w:val="0048515D"/>
    <w:rsid w:val="00485DBF"/>
    <w:rsid w:val="004864F1"/>
    <w:rsid w:val="00490DB3"/>
    <w:rsid w:val="00490FC6"/>
    <w:rsid w:val="004914C0"/>
    <w:rsid w:val="00492153"/>
    <w:rsid w:val="004940DF"/>
    <w:rsid w:val="00494C8D"/>
    <w:rsid w:val="00494D32"/>
    <w:rsid w:val="0049515A"/>
    <w:rsid w:val="004952F4"/>
    <w:rsid w:val="00495E6B"/>
    <w:rsid w:val="00496DF4"/>
    <w:rsid w:val="00497064"/>
    <w:rsid w:val="004A08EE"/>
    <w:rsid w:val="004A0D01"/>
    <w:rsid w:val="004A0D9D"/>
    <w:rsid w:val="004A0EB5"/>
    <w:rsid w:val="004A10D4"/>
    <w:rsid w:val="004A1A3B"/>
    <w:rsid w:val="004A279A"/>
    <w:rsid w:val="004A2CC9"/>
    <w:rsid w:val="004A2FA2"/>
    <w:rsid w:val="004A3626"/>
    <w:rsid w:val="004A365A"/>
    <w:rsid w:val="004A4546"/>
    <w:rsid w:val="004A63FA"/>
    <w:rsid w:val="004A75E8"/>
    <w:rsid w:val="004A77C3"/>
    <w:rsid w:val="004A790F"/>
    <w:rsid w:val="004A7FE6"/>
    <w:rsid w:val="004B114C"/>
    <w:rsid w:val="004B412A"/>
    <w:rsid w:val="004B4CBC"/>
    <w:rsid w:val="004B73A3"/>
    <w:rsid w:val="004C0153"/>
    <w:rsid w:val="004C0BB8"/>
    <w:rsid w:val="004C1198"/>
    <w:rsid w:val="004C153A"/>
    <w:rsid w:val="004C2829"/>
    <w:rsid w:val="004C329B"/>
    <w:rsid w:val="004C485D"/>
    <w:rsid w:val="004C4939"/>
    <w:rsid w:val="004C4D8C"/>
    <w:rsid w:val="004C5329"/>
    <w:rsid w:val="004C60AA"/>
    <w:rsid w:val="004C6594"/>
    <w:rsid w:val="004C6699"/>
    <w:rsid w:val="004D0280"/>
    <w:rsid w:val="004D0F22"/>
    <w:rsid w:val="004D1A43"/>
    <w:rsid w:val="004D2E81"/>
    <w:rsid w:val="004D3D9E"/>
    <w:rsid w:val="004D40D8"/>
    <w:rsid w:val="004D4C21"/>
    <w:rsid w:val="004D70E9"/>
    <w:rsid w:val="004D7246"/>
    <w:rsid w:val="004D725D"/>
    <w:rsid w:val="004E1295"/>
    <w:rsid w:val="004E1519"/>
    <w:rsid w:val="004E3B89"/>
    <w:rsid w:val="004E4559"/>
    <w:rsid w:val="004E491F"/>
    <w:rsid w:val="004E49AB"/>
    <w:rsid w:val="004E54B6"/>
    <w:rsid w:val="004E6C8E"/>
    <w:rsid w:val="004E7807"/>
    <w:rsid w:val="004E7A25"/>
    <w:rsid w:val="004F03D6"/>
    <w:rsid w:val="004F06E2"/>
    <w:rsid w:val="004F1B3C"/>
    <w:rsid w:val="004F2A80"/>
    <w:rsid w:val="004F41AA"/>
    <w:rsid w:val="004F4687"/>
    <w:rsid w:val="004F4B4A"/>
    <w:rsid w:val="004F7119"/>
    <w:rsid w:val="004F76CC"/>
    <w:rsid w:val="00500F72"/>
    <w:rsid w:val="00501B43"/>
    <w:rsid w:val="00501DDF"/>
    <w:rsid w:val="00502BC3"/>
    <w:rsid w:val="00502E6A"/>
    <w:rsid w:val="0050362F"/>
    <w:rsid w:val="00503AB1"/>
    <w:rsid w:val="00504D4A"/>
    <w:rsid w:val="00505CC2"/>
    <w:rsid w:val="0050635C"/>
    <w:rsid w:val="005063B9"/>
    <w:rsid w:val="005075B0"/>
    <w:rsid w:val="00507A31"/>
    <w:rsid w:val="00510395"/>
    <w:rsid w:val="005105C3"/>
    <w:rsid w:val="005112CA"/>
    <w:rsid w:val="005112CB"/>
    <w:rsid w:val="0051382A"/>
    <w:rsid w:val="00514FF2"/>
    <w:rsid w:val="005151A9"/>
    <w:rsid w:val="0051544C"/>
    <w:rsid w:val="00515629"/>
    <w:rsid w:val="00515B12"/>
    <w:rsid w:val="00516F6C"/>
    <w:rsid w:val="0052098E"/>
    <w:rsid w:val="005214CB"/>
    <w:rsid w:val="00521845"/>
    <w:rsid w:val="00521AC0"/>
    <w:rsid w:val="00521DAC"/>
    <w:rsid w:val="005224FB"/>
    <w:rsid w:val="0052273A"/>
    <w:rsid w:val="00523018"/>
    <w:rsid w:val="00524343"/>
    <w:rsid w:val="00524537"/>
    <w:rsid w:val="00524796"/>
    <w:rsid w:val="005248D2"/>
    <w:rsid w:val="0052601C"/>
    <w:rsid w:val="00526781"/>
    <w:rsid w:val="0052736B"/>
    <w:rsid w:val="0052773C"/>
    <w:rsid w:val="00527914"/>
    <w:rsid w:val="0053077F"/>
    <w:rsid w:val="005310EC"/>
    <w:rsid w:val="00532A0E"/>
    <w:rsid w:val="00532F81"/>
    <w:rsid w:val="005332BA"/>
    <w:rsid w:val="005348B5"/>
    <w:rsid w:val="00534A35"/>
    <w:rsid w:val="00534B8B"/>
    <w:rsid w:val="005359B3"/>
    <w:rsid w:val="00535DFF"/>
    <w:rsid w:val="00536279"/>
    <w:rsid w:val="0053640F"/>
    <w:rsid w:val="0053697E"/>
    <w:rsid w:val="00536FC7"/>
    <w:rsid w:val="00540DD5"/>
    <w:rsid w:val="00543467"/>
    <w:rsid w:val="00543882"/>
    <w:rsid w:val="00544DA5"/>
    <w:rsid w:val="00545004"/>
    <w:rsid w:val="00545AD6"/>
    <w:rsid w:val="00547A5B"/>
    <w:rsid w:val="00550311"/>
    <w:rsid w:val="00551069"/>
    <w:rsid w:val="00552196"/>
    <w:rsid w:val="00555103"/>
    <w:rsid w:val="00555268"/>
    <w:rsid w:val="0055711C"/>
    <w:rsid w:val="0055781E"/>
    <w:rsid w:val="00557DD9"/>
    <w:rsid w:val="00560F0F"/>
    <w:rsid w:val="00561C30"/>
    <w:rsid w:val="005620E5"/>
    <w:rsid w:val="00562AE4"/>
    <w:rsid w:val="00562D97"/>
    <w:rsid w:val="005636AF"/>
    <w:rsid w:val="00564D2B"/>
    <w:rsid w:val="0056585E"/>
    <w:rsid w:val="00565AC3"/>
    <w:rsid w:val="00566EB5"/>
    <w:rsid w:val="00567609"/>
    <w:rsid w:val="00570642"/>
    <w:rsid w:val="00571015"/>
    <w:rsid w:val="00571302"/>
    <w:rsid w:val="0057189E"/>
    <w:rsid w:val="0057446A"/>
    <w:rsid w:val="00575105"/>
    <w:rsid w:val="00575A70"/>
    <w:rsid w:val="00576370"/>
    <w:rsid w:val="00577F35"/>
    <w:rsid w:val="0058031D"/>
    <w:rsid w:val="00580AD7"/>
    <w:rsid w:val="00580FC6"/>
    <w:rsid w:val="0058121C"/>
    <w:rsid w:val="00581542"/>
    <w:rsid w:val="005821E5"/>
    <w:rsid w:val="00582C5E"/>
    <w:rsid w:val="00583F8A"/>
    <w:rsid w:val="005853DC"/>
    <w:rsid w:val="005855EB"/>
    <w:rsid w:val="00585C36"/>
    <w:rsid w:val="005864B3"/>
    <w:rsid w:val="005875C2"/>
    <w:rsid w:val="00590271"/>
    <w:rsid w:val="00590657"/>
    <w:rsid w:val="00590ACF"/>
    <w:rsid w:val="00590B21"/>
    <w:rsid w:val="00591090"/>
    <w:rsid w:val="00591831"/>
    <w:rsid w:val="00591A47"/>
    <w:rsid w:val="005920D7"/>
    <w:rsid w:val="005932FA"/>
    <w:rsid w:val="00594240"/>
    <w:rsid w:val="00594822"/>
    <w:rsid w:val="00594C32"/>
    <w:rsid w:val="00594F8F"/>
    <w:rsid w:val="00596193"/>
    <w:rsid w:val="00596F7B"/>
    <w:rsid w:val="0059721E"/>
    <w:rsid w:val="005A09A6"/>
    <w:rsid w:val="005A123B"/>
    <w:rsid w:val="005A1EA6"/>
    <w:rsid w:val="005A2012"/>
    <w:rsid w:val="005A2EF5"/>
    <w:rsid w:val="005A3304"/>
    <w:rsid w:val="005A3C4F"/>
    <w:rsid w:val="005A3C71"/>
    <w:rsid w:val="005A3D0D"/>
    <w:rsid w:val="005A4647"/>
    <w:rsid w:val="005B19D3"/>
    <w:rsid w:val="005B1DE2"/>
    <w:rsid w:val="005B3934"/>
    <w:rsid w:val="005B50E3"/>
    <w:rsid w:val="005B544B"/>
    <w:rsid w:val="005B5985"/>
    <w:rsid w:val="005B6222"/>
    <w:rsid w:val="005B67EF"/>
    <w:rsid w:val="005B7796"/>
    <w:rsid w:val="005B7799"/>
    <w:rsid w:val="005B783E"/>
    <w:rsid w:val="005C16CF"/>
    <w:rsid w:val="005C27D9"/>
    <w:rsid w:val="005C2BDE"/>
    <w:rsid w:val="005C2D78"/>
    <w:rsid w:val="005C3B20"/>
    <w:rsid w:val="005C3C8D"/>
    <w:rsid w:val="005C4694"/>
    <w:rsid w:val="005C52B8"/>
    <w:rsid w:val="005C54DA"/>
    <w:rsid w:val="005C5BCA"/>
    <w:rsid w:val="005C6925"/>
    <w:rsid w:val="005C7401"/>
    <w:rsid w:val="005C7404"/>
    <w:rsid w:val="005C7EBF"/>
    <w:rsid w:val="005D0C62"/>
    <w:rsid w:val="005D4C95"/>
    <w:rsid w:val="005D4E30"/>
    <w:rsid w:val="005D50E5"/>
    <w:rsid w:val="005D58C3"/>
    <w:rsid w:val="005D68C2"/>
    <w:rsid w:val="005D75FE"/>
    <w:rsid w:val="005E02AF"/>
    <w:rsid w:val="005E0BE9"/>
    <w:rsid w:val="005E0D5D"/>
    <w:rsid w:val="005E142C"/>
    <w:rsid w:val="005E1656"/>
    <w:rsid w:val="005E1729"/>
    <w:rsid w:val="005E1CE7"/>
    <w:rsid w:val="005E256C"/>
    <w:rsid w:val="005E27F3"/>
    <w:rsid w:val="005E4FAD"/>
    <w:rsid w:val="005E6504"/>
    <w:rsid w:val="005E6DCC"/>
    <w:rsid w:val="005E7FD3"/>
    <w:rsid w:val="005F099A"/>
    <w:rsid w:val="005F17D8"/>
    <w:rsid w:val="005F320C"/>
    <w:rsid w:val="005F47AF"/>
    <w:rsid w:val="005F73C3"/>
    <w:rsid w:val="005F7F21"/>
    <w:rsid w:val="00600469"/>
    <w:rsid w:val="00600F46"/>
    <w:rsid w:val="006028CD"/>
    <w:rsid w:val="00602E51"/>
    <w:rsid w:val="00602FDF"/>
    <w:rsid w:val="00603D3C"/>
    <w:rsid w:val="0060406E"/>
    <w:rsid w:val="00604BF8"/>
    <w:rsid w:val="00605A79"/>
    <w:rsid w:val="00605B13"/>
    <w:rsid w:val="00607413"/>
    <w:rsid w:val="00610B96"/>
    <w:rsid w:val="00611E3A"/>
    <w:rsid w:val="00613334"/>
    <w:rsid w:val="00614171"/>
    <w:rsid w:val="00614193"/>
    <w:rsid w:val="00614AD2"/>
    <w:rsid w:val="00614BCE"/>
    <w:rsid w:val="0061654A"/>
    <w:rsid w:val="00617061"/>
    <w:rsid w:val="006217C5"/>
    <w:rsid w:val="006229AB"/>
    <w:rsid w:val="00623A4F"/>
    <w:rsid w:val="006269E5"/>
    <w:rsid w:val="00631455"/>
    <w:rsid w:val="0063323F"/>
    <w:rsid w:val="006339A9"/>
    <w:rsid w:val="00633F61"/>
    <w:rsid w:val="00635920"/>
    <w:rsid w:val="00636032"/>
    <w:rsid w:val="00636B57"/>
    <w:rsid w:val="0063762C"/>
    <w:rsid w:val="006425E5"/>
    <w:rsid w:val="00642C20"/>
    <w:rsid w:val="006431FE"/>
    <w:rsid w:val="00643C92"/>
    <w:rsid w:val="006453B2"/>
    <w:rsid w:val="00645529"/>
    <w:rsid w:val="006455C1"/>
    <w:rsid w:val="006479B8"/>
    <w:rsid w:val="00647C4B"/>
    <w:rsid w:val="00647E66"/>
    <w:rsid w:val="00650830"/>
    <w:rsid w:val="00650858"/>
    <w:rsid w:val="00650901"/>
    <w:rsid w:val="006509F0"/>
    <w:rsid w:val="00651B89"/>
    <w:rsid w:val="00652C4D"/>
    <w:rsid w:val="006534CE"/>
    <w:rsid w:val="006543C7"/>
    <w:rsid w:val="00654E1A"/>
    <w:rsid w:val="006616B9"/>
    <w:rsid w:val="0066182B"/>
    <w:rsid w:val="00663BDA"/>
    <w:rsid w:val="00663C20"/>
    <w:rsid w:val="0066437C"/>
    <w:rsid w:val="00664BAF"/>
    <w:rsid w:val="00665A90"/>
    <w:rsid w:val="006666B9"/>
    <w:rsid w:val="00666884"/>
    <w:rsid w:val="00670201"/>
    <w:rsid w:val="006720FA"/>
    <w:rsid w:val="00672BDA"/>
    <w:rsid w:val="00673059"/>
    <w:rsid w:val="00673AEE"/>
    <w:rsid w:val="00673C29"/>
    <w:rsid w:val="00675181"/>
    <w:rsid w:val="0067605F"/>
    <w:rsid w:val="0067615D"/>
    <w:rsid w:val="00676F57"/>
    <w:rsid w:val="00677C9E"/>
    <w:rsid w:val="006811C5"/>
    <w:rsid w:val="006819C1"/>
    <w:rsid w:val="0068291E"/>
    <w:rsid w:val="00683383"/>
    <w:rsid w:val="006859B4"/>
    <w:rsid w:val="00686F90"/>
    <w:rsid w:val="00686FBA"/>
    <w:rsid w:val="006875CE"/>
    <w:rsid w:val="00690093"/>
    <w:rsid w:val="006906A2"/>
    <w:rsid w:val="00690E9D"/>
    <w:rsid w:val="00691931"/>
    <w:rsid w:val="0069301A"/>
    <w:rsid w:val="0069351D"/>
    <w:rsid w:val="006945C1"/>
    <w:rsid w:val="006956D2"/>
    <w:rsid w:val="00695865"/>
    <w:rsid w:val="00696348"/>
    <w:rsid w:val="00697005"/>
    <w:rsid w:val="00697A85"/>
    <w:rsid w:val="006A0517"/>
    <w:rsid w:val="006A0EA1"/>
    <w:rsid w:val="006A182D"/>
    <w:rsid w:val="006A20E7"/>
    <w:rsid w:val="006A259A"/>
    <w:rsid w:val="006A329C"/>
    <w:rsid w:val="006A39A5"/>
    <w:rsid w:val="006A482B"/>
    <w:rsid w:val="006A4BD9"/>
    <w:rsid w:val="006A52A2"/>
    <w:rsid w:val="006A7191"/>
    <w:rsid w:val="006A73E3"/>
    <w:rsid w:val="006A7C0B"/>
    <w:rsid w:val="006A7C54"/>
    <w:rsid w:val="006B01A8"/>
    <w:rsid w:val="006B0DAB"/>
    <w:rsid w:val="006B1ABC"/>
    <w:rsid w:val="006B3219"/>
    <w:rsid w:val="006B333F"/>
    <w:rsid w:val="006B3476"/>
    <w:rsid w:val="006B4649"/>
    <w:rsid w:val="006B610F"/>
    <w:rsid w:val="006B6630"/>
    <w:rsid w:val="006B7417"/>
    <w:rsid w:val="006C0FF7"/>
    <w:rsid w:val="006C4409"/>
    <w:rsid w:val="006C458A"/>
    <w:rsid w:val="006C600C"/>
    <w:rsid w:val="006C6CB6"/>
    <w:rsid w:val="006C6F62"/>
    <w:rsid w:val="006C73FD"/>
    <w:rsid w:val="006D0400"/>
    <w:rsid w:val="006D22DF"/>
    <w:rsid w:val="006D3113"/>
    <w:rsid w:val="006D3715"/>
    <w:rsid w:val="006D4EC2"/>
    <w:rsid w:val="006D5312"/>
    <w:rsid w:val="006D5CF6"/>
    <w:rsid w:val="006D5ED8"/>
    <w:rsid w:val="006D6025"/>
    <w:rsid w:val="006D6811"/>
    <w:rsid w:val="006E03FA"/>
    <w:rsid w:val="006E052A"/>
    <w:rsid w:val="006E1A6D"/>
    <w:rsid w:val="006E2355"/>
    <w:rsid w:val="006E2738"/>
    <w:rsid w:val="006E2CB0"/>
    <w:rsid w:val="006E35CE"/>
    <w:rsid w:val="006E500A"/>
    <w:rsid w:val="006E5732"/>
    <w:rsid w:val="006E5C73"/>
    <w:rsid w:val="006E6D2E"/>
    <w:rsid w:val="006E6F00"/>
    <w:rsid w:val="006E7B2C"/>
    <w:rsid w:val="006F01F9"/>
    <w:rsid w:val="006F0BD0"/>
    <w:rsid w:val="006F0D4A"/>
    <w:rsid w:val="006F1177"/>
    <w:rsid w:val="006F1DB7"/>
    <w:rsid w:val="006F1EA3"/>
    <w:rsid w:val="006F274A"/>
    <w:rsid w:val="006F5485"/>
    <w:rsid w:val="006F54D1"/>
    <w:rsid w:val="006F6731"/>
    <w:rsid w:val="00700759"/>
    <w:rsid w:val="00701D21"/>
    <w:rsid w:val="00701DE7"/>
    <w:rsid w:val="007024BC"/>
    <w:rsid w:val="00702AD1"/>
    <w:rsid w:val="007032F0"/>
    <w:rsid w:val="00703C2B"/>
    <w:rsid w:val="007049BF"/>
    <w:rsid w:val="00704DD3"/>
    <w:rsid w:val="00704EFE"/>
    <w:rsid w:val="007057D7"/>
    <w:rsid w:val="00705A0F"/>
    <w:rsid w:val="00707403"/>
    <w:rsid w:val="00707AA2"/>
    <w:rsid w:val="0071037F"/>
    <w:rsid w:val="0071050F"/>
    <w:rsid w:val="0071101D"/>
    <w:rsid w:val="007129B8"/>
    <w:rsid w:val="00713337"/>
    <w:rsid w:val="00713500"/>
    <w:rsid w:val="007136F8"/>
    <w:rsid w:val="00715F96"/>
    <w:rsid w:val="00717E03"/>
    <w:rsid w:val="00721125"/>
    <w:rsid w:val="00721E23"/>
    <w:rsid w:val="0072293B"/>
    <w:rsid w:val="00722BD6"/>
    <w:rsid w:val="0072318D"/>
    <w:rsid w:val="00723996"/>
    <w:rsid w:val="0072400A"/>
    <w:rsid w:val="00724E95"/>
    <w:rsid w:val="007256E5"/>
    <w:rsid w:val="007257DC"/>
    <w:rsid w:val="0072596E"/>
    <w:rsid w:val="00726479"/>
    <w:rsid w:val="00727339"/>
    <w:rsid w:val="00727704"/>
    <w:rsid w:val="007302A5"/>
    <w:rsid w:val="007321ED"/>
    <w:rsid w:val="0073277C"/>
    <w:rsid w:val="00732E1B"/>
    <w:rsid w:val="00735B88"/>
    <w:rsid w:val="00735E32"/>
    <w:rsid w:val="00737615"/>
    <w:rsid w:val="0074006E"/>
    <w:rsid w:val="00740623"/>
    <w:rsid w:val="00740B95"/>
    <w:rsid w:val="0074149D"/>
    <w:rsid w:val="00741575"/>
    <w:rsid w:val="0074163D"/>
    <w:rsid w:val="00742605"/>
    <w:rsid w:val="00745C4B"/>
    <w:rsid w:val="00745CC3"/>
    <w:rsid w:val="00746941"/>
    <w:rsid w:val="007478ED"/>
    <w:rsid w:val="00750A3F"/>
    <w:rsid w:val="00751080"/>
    <w:rsid w:val="007510BA"/>
    <w:rsid w:val="00751425"/>
    <w:rsid w:val="00751ECB"/>
    <w:rsid w:val="00753016"/>
    <w:rsid w:val="007534DA"/>
    <w:rsid w:val="0075359B"/>
    <w:rsid w:val="00753DAF"/>
    <w:rsid w:val="007548F0"/>
    <w:rsid w:val="007554DF"/>
    <w:rsid w:val="00755516"/>
    <w:rsid w:val="00755850"/>
    <w:rsid w:val="00755DB3"/>
    <w:rsid w:val="0075788A"/>
    <w:rsid w:val="00761F66"/>
    <w:rsid w:val="0076393D"/>
    <w:rsid w:val="00763A84"/>
    <w:rsid w:val="00763E02"/>
    <w:rsid w:val="00765B3D"/>
    <w:rsid w:val="007704B1"/>
    <w:rsid w:val="00770D05"/>
    <w:rsid w:val="00770F68"/>
    <w:rsid w:val="00771E23"/>
    <w:rsid w:val="00773389"/>
    <w:rsid w:val="007735AB"/>
    <w:rsid w:val="00775881"/>
    <w:rsid w:val="00775C86"/>
    <w:rsid w:val="007760B8"/>
    <w:rsid w:val="00777EA0"/>
    <w:rsid w:val="00780194"/>
    <w:rsid w:val="00780202"/>
    <w:rsid w:val="00781D00"/>
    <w:rsid w:val="007823C3"/>
    <w:rsid w:val="00782F0D"/>
    <w:rsid w:val="00782F7C"/>
    <w:rsid w:val="00783156"/>
    <w:rsid w:val="0078384C"/>
    <w:rsid w:val="0078390F"/>
    <w:rsid w:val="00783C1C"/>
    <w:rsid w:val="00784A30"/>
    <w:rsid w:val="007876B5"/>
    <w:rsid w:val="00790543"/>
    <w:rsid w:val="00790E34"/>
    <w:rsid w:val="007919F8"/>
    <w:rsid w:val="007920FC"/>
    <w:rsid w:val="0079236B"/>
    <w:rsid w:val="00792F2B"/>
    <w:rsid w:val="00793D44"/>
    <w:rsid w:val="007949B7"/>
    <w:rsid w:val="007962BC"/>
    <w:rsid w:val="00796C5E"/>
    <w:rsid w:val="007976EB"/>
    <w:rsid w:val="007A0ACB"/>
    <w:rsid w:val="007A1CB5"/>
    <w:rsid w:val="007A20F0"/>
    <w:rsid w:val="007A2F24"/>
    <w:rsid w:val="007A3420"/>
    <w:rsid w:val="007A3543"/>
    <w:rsid w:val="007A3D27"/>
    <w:rsid w:val="007A3F5A"/>
    <w:rsid w:val="007A4356"/>
    <w:rsid w:val="007A445B"/>
    <w:rsid w:val="007A5031"/>
    <w:rsid w:val="007A7601"/>
    <w:rsid w:val="007A7F0A"/>
    <w:rsid w:val="007B2C70"/>
    <w:rsid w:val="007B49F8"/>
    <w:rsid w:val="007B4B56"/>
    <w:rsid w:val="007B6451"/>
    <w:rsid w:val="007B6C2C"/>
    <w:rsid w:val="007B6C8C"/>
    <w:rsid w:val="007B783E"/>
    <w:rsid w:val="007C055E"/>
    <w:rsid w:val="007C0D27"/>
    <w:rsid w:val="007C172D"/>
    <w:rsid w:val="007C24FF"/>
    <w:rsid w:val="007C3105"/>
    <w:rsid w:val="007C50AC"/>
    <w:rsid w:val="007C75F7"/>
    <w:rsid w:val="007C7F5A"/>
    <w:rsid w:val="007D01A1"/>
    <w:rsid w:val="007D2632"/>
    <w:rsid w:val="007D2854"/>
    <w:rsid w:val="007D3E5D"/>
    <w:rsid w:val="007D4691"/>
    <w:rsid w:val="007D46C3"/>
    <w:rsid w:val="007D524F"/>
    <w:rsid w:val="007D5998"/>
    <w:rsid w:val="007D5C65"/>
    <w:rsid w:val="007D674D"/>
    <w:rsid w:val="007D6A2A"/>
    <w:rsid w:val="007D7037"/>
    <w:rsid w:val="007D70FA"/>
    <w:rsid w:val="007D7212"/>
    <w:rsid w:val="007D7566"/>
    <w:rsid w:val="007D765E"/>
    <w:rsid w:val="007D7C54"/>
    <w:rsid w:val="007E0350"/>
    <w:rsid w:val="007E0389"/>
    <w:rsid w:val="007E05FE"/>
    <w:rsid w:val="007E074E"/>
    <w:rsid w:val="007E2A2B"/>
    <w:rsid w:val="007E3814"/>
    <w:rsid w:val="007E542A"/>
    <w:rsid w:val="007E5677"/>
    <w:rsid w:val="007E6647"/>
    <w:rsid w:val="007E7917"/>
    <w:rsid w:val="007F0AEF"/>
    <w:rsid w:val="007F0C59"/>
    <w:rsid w:val="007F17F9"/>
    <w:rsid w:val="007F1FE9"/>
    <w:rsid w:val="007F21EA"/>
    <w:rsid w:val="007F24DF"/>
    <w:rsid w:val="007F26C4"/>
    <w:rsid w:val="007F2933"/>
    <w:rsid w:val="007F2FBA"/>
    <w:rsid w:val="007F4660"/>
    <w:rsid w:val="007F4712"/>
    <w:rsid w:val="007F4A06"/>
    <w:rsid w:val="007F50DE"/>
    <w:rsid w:val="007F5C00"/>
    <w:rsid w:val="007F7423"/>
    <w:rsid w:val="007F7A45"/>
    <w:rsid w:val="008003FF"/>
    <w:rsid w:val="00800B8F"/>
    <w:rsid w:val="00800EF8"/>
    <w:rsid w:val="0080179F"/>
    <w:rsid w:val="008019E3"/>
    <w:rsid w:val="00802C8A"/>
    <w:rsid w:val="00803367"/>
    <w:rsid w:val="00803EBD"/>
    <w:rsid w:val="008045B6"/>
    <w:rsid w:val="0080626E"/>
    <w:rsid w:val="0080654E"/>
    <w:rsid w:val="00807036"/>
    <w:rsid w:val="00807342"/>
    <w:rsid w:val="00807FA9"/>
    <w:rsid w:val="00810188"/>
    <w:rsid w:val="008112D1"/>
    <w:rsid w:val="00814379"/>
    <w:rsid w:val="00814547"/>
    <w:rsid w:val="00814908"/>
    <w:rsid w:val="00814D85"/>
    <w:rsid w:val="00815302"/>
    <w:rsid w:val="00816AA2"/>
    <w:rsid w:val="0082023D"/>
    <w:rsid w:val="00820BAF"/>
    <w:rsid w:val="00821354"/>
    <w:rsid w:val="008224B8"/>
    <w:rsid w:val="00822F7E"/>
    <w:rsid w:val="008232B7"/>
    <w:rsid w:val="00824C27"/>
    <w:rsid w:val="00824C71"/>
    <w:rsid w:val="0082684F"/>
    <w:rsid w:val="00826E3B"/>
    <w:rsid w:val="0082706D"/>
    <w:rsid w:val="00832CD3"/>
    <w:rsid w:val="00834475"/>
    <w:rsid w:val="00834AE0"/>
    <w:rsid w:val="00834FAA"/>
    <w:rsid w:val="008354EF"/>
    <w:rsid w:val="00835AAD"/>
    <w:rsid w:val="008363B8"/>
    <w:rsid w:val="008368A9"/>
    <w:rsid w:val="008369C3"/>
    <w:rsid w:val="00836E6A"/>
    <w:rsid w:val="00837C87"/>
    <w:rsid w:val="008400C0"/>
    <w:rsid w:val="0084074B"/>
    <w:rsid w:val="0084108F"/>
    <w:rsid w:val="0084114F"/>
    <w:rsid w:val="008413A6"/>
    <w:rsid w:val="0084207D"/>
    <w:rsid w:val="008445E3"/>
    <w:rsid w:val="008459AC"/>
    <w:rsid w:val="008501A1"/>
    <w:rsid w:val="00850469"/>
    <w:rsid w:val="008507F0"/>
    <w:rsid w:val="00850A6C"/>
    <w:rsid w:val="0085233F"/>
    <w:rsid w:val="0085275E"/>
    <w:rsid w:val="00852D1F"/>
    <w:rsid w:val="00853F1B"/>
    <w:rsid w:val="0085460A"/>
    <w:rsid w:val="00856BD6"/>
    <w:rsid w:val="00857F83"/>
    <w:rsid w:val="00861CE3"/>
    <w:rsid w:val="00862423"/>
    <w:rsid w:val="00862AF6"/>
    <w:rsid w:val="00864DAF"/>
    <w:rsid w:val="00867914"/>
    <w:rsid w:val="00870054"/>
    <w:rsid w:val="00870B28"/>
    <w:rsid w:val="00870C7B"/>
    <w:rsid w:val="008720FA"/>
    <w:rsid w:val="00873300"/>
    <w:rsid w:val="008740E1"/>
    <w:rsid w:val="00874837"/>
    <w:rsid w:val="00874B97"/>
    <w:rsid w:val="008752D2"/>
    <w:rsid w:val="008763B4"/>
    <w:rsid w:val="00876580"/>
    <w:rsid w:val="00877BCB"/>
    <w:rsid w:val="00880762"/>
    <w:rsid w:val="00880EB0"/>
    <w:rsid w:val="008816A2"/>
    <w:rsid w:val="0088184F"/>
    <w:rsid w:val="00881BCD"/>
    <w:rsid w:val="00882B46"/>
    <w:rsid w:val="008843E0"/>
    <w:rsid w:val="008847CA"/>
    <w:rsid w:val="00884DB4"/>
    <w:rsid w:val="0088507F"/>
    <w:rsid w:val="00885240"/>
    <w:rsid w:val="008877A4"/>
    <w:rsid w:val="008916D3"/>
    <w:rsid w:val="00891B00"/>
    <w:rsid w:val="008938F1"/>
    <w:rsid w:val="00893EE6"/>
    <w:rsid w:val="00893EEF"/>
    <w:rsid w:val="008950DA"/>
    <w:rsid w:val="00895495"/>
    <w:rsid w:val="00895A4B"/>
    <w:rsid w:val="00896B7A"/>
    <w:rsid w:val="008A46FF"/>
    <w:rsid w:val="008A48A6"/>
    <w:rsid w:val="008A5DE9"/>
    <w:rsid w:val="008A62D1"/>
    <w:rsid w:val="008A6442"/>
    <w:rsid w:val="008B0254"/>
    <w:rsid w:val="008B0A95"/>
    <w:rsid w:val="008B1136"/>
    <w:rsid w:val="008B1847"/>
    <w:rsid w:val="008B3065"/>
    <w:rsid w:val="008B5361"/>
    <w:rsid w:val="008B572A"/>
    <w:rsid w:val="008B5BE9"/>
    <w:rsid w:val="008B787A"/>
    <w:rsid w:val="008B7C85"/>
    <w:rsid w:val="008B7DFE"/>
    <w:rsid w:val="008B7E62"/>
    <w:rsid w:val="008B7EBA"/>
    <w:rsid w:val="008C0853"/>
    <w:rsid w:val="008C16BD"/>
    <w:rsid w:val="008C29A2"/>
    <w:rsid w:val="008C4586"/>
    <w:rsid w:val="008C5379"/>
    <w:rsid w:val="008C5547"/>
    <w:rsid w:val="008C669B"/>
    <w:rsid w:val="008C7113"/>
    <w:rsid w:val="008C7317"/>
    <w:rsid w:val="008C75B8"/>
    <w:rsid w:val="008C7607"/>
    <w:rsid w:val="008D1017"/>
    <w:rsid w:val="008D2441"/>
    <w:rsid w:val="008D361B"/>
    <w:rsid w:val="008D3813"/>
    <w:rsid w:val="008D4AEC"/>
    <w:rsid w:val="008D53C9"/>
    <w:rsid w:val="008D5C32"/>
    <w:rsid w:val="008D635A"/>
    <w:rsid w:val="008D66A9"/>
    <w:rsid w:val="008D6DAC"/>
    <w:rsid w:val="008D7BB8"/>
    <w:rsid w:val="008D7CAA"/>
    <w:rsid w:val="008E2550"/>
    <w:rsid w:val="008E3029"/>
    <w:rsid w:val="008E4D76"/>
    <w:rsid w:val="008E5E31"/>
    <w:rsid w:val="008E5E54"/>
    <w:rsid w:val="008E74D5"/>
    <w:rsid w:val="008F015B"/>
    <w:rsid w:val="008F0394"/>
    <w:rsid w:val="008F0597"/>
    <w:rsid w:val="008F1357"/>
    <w:rsid w:val="008F2258"/>
    <w:rsid w:val="008F2A19"/>
    <w:rsid w:val="008F2D8E"/>
    <w:rsid w:val="008F36E6"/>
    <w:rsid w:val="008F4F51"/>
    <w:rsid w:val="008F501D"/>
    <w:rsid w:val="008F621B"/>
    <w:rsid w:val="008F67C6"/>
    <w:rsid w:val="008F6831"/>
    <w:rsid w:val="009013A2"/>
    <w:rsid w:val="00902424"/>
    <w:rsid w:val="0090258B"/>
    <w:rsid w:val="009031B0"/>
    <w:rsid w:val="009043EB"/>
    <w:rsid w:val="00904571"/>
    <w:rsid w:val="00904D2A"/>
    <w:rsid w:val="0090516F"/>
    <w:rsid w:val="00905593"/>
    <w:rsid w:val="00905F27"/>
    <w:rsid w:val="009060FA"/>
    <w:rsid w:val="0090639B"/>
    <w:rsid w:val="00906A9F"/>
    <w:rsid w:val="00907ADD"/>
    <w:rsid w:val="00910C4F"/>
    <w:rsid w:val="00910CA2"/>
    <w:rsid w:val="00912B34"/>
    <w:rsid w:val="0091367F"/>
    <w:rsid w:val="00913C79"/>
    <w:rsid w:val="00913D91"/>
    <w:rsid w:val="00913F97"/>
    <w:rsid w:val="00914858"/>
    <w:rsid w:val="00916459"/>
    <w:rsid w:val="00916D28"/>
    <w:rsid w:val="00916E62"/>
    <w:rsid w:val="0091739F"/>
    <w:rsid w:val="00917A91"/>
    <w:rsid w:val="0092068C"/>
    <w:rsid w:val="00920D05"/>
    <w:rsid w:val="00920D80"/>
    <w:rsid w:val="00920ED1"/>
    <w:rsid w:val="00920EF8"/>
    <w:rsid w:val="00921240"/>
    <w:rsid w:val="009215B4"/>
    <w:rsid w:val="00921605"/>
    <w:rsid w:val="00922170"/>
    <w:rsid w:val="00922D6B"/>
    <w:rsid w:val="0092326C"/>
    <w:rsid w:val="00923555"/>
    <w:rsid w:val="009241EE"/>
    <w:rsid w:val="009241F6"/>
    <w:rsid w:val="00924B46"/>
    <w:rsid w:val="00924FF3"/>
    <w:rsid w:val="00925537"/>
    <w:rsid w:val="00926761"/>
    <w:rsid w:val="00926DAC"/>
    <w:rsid w:val="0092740F"/>
    <w:rsid w:val="009277B1"/>
    <w:rsid w:val="00930934"/>
    <w:rsid w:val="0093166E"/>
    <w:rsid w:val="009318C8"/>
    <w:rsid w:val="00932058"/>
    <w:rsid w:val="00932C7C"/>
    <w:rsid w:val="009334F2"/>
    <w:rsid w:val="00934EE8"/>
    <w:rsid w:val="00936842"/>
    <w:rsid w:val="00936D5A"/>
    <w:rsid w:val="00936DAA"/>
    <w:rsid w:val="00940606"/>
    <w:rsid w:val="009408EA"/>
    <w:rsid w:val="00940D7C"/>
    <w:rsid w:val="00941B04"/>
    <w:rsid w:val="00942C88"/>
    <w:rsid w:val="0094397B"/>
    <w:rsid w:val="009461F7"/>
    <w:rsid w:val="0094637C"/>
    <w:rsid w:val="009464FF"/>
    <w:rsid w:val="00947109"/>
    <w:rsid w:val="00947183"/>
    <w:rsid w:val="0094793C"/>
    <w:rsid w:val="00950CA8"/>
    <w:rsid w:val="00954110"/>
    <w:rsid w:val="009549D8"/>
    <w:rsid w:val="00954E72"/>
    <w:rsid w:val="00955271"/>
    <w:rsid w:val="009560F8"/>
    <w:rsid w:val="0096028F"/>
    <w:rsid w:val="00960D14"/>
    <w:rsid w:val="0096107D"/>
    <w:rsid w:val="009614A7"/>
    <w:rsid w:val="009618C8"/>
    <w:rsid w:val="009627F5"/>
    <w:rsid w:val="0096290C"/>
    <w:rsid w:val="00962AB2"/>
    <w:rsid w:val="0096406E"/>
    <w:rsid w:val="009642FA"/>
    <w:rsid w:val="00966508"/>
    <w:rsid w:val="00966796"/>
    <w:rsid w:val="0096707E"/>
    <w:rsid w:val="009671E6"/>
    <w:rsid w:val="009703A3"/>
    <w:rsid w:val="009718E3"/>
    <w:rsid w:val="009724E3"/>
    <w:rsid w:val="009729C0"/>
    <w:rsid w:val="00973F20"/>
    <w:rsid w:val="0097538A"/>
    <w:rsid w:val="00975E7D"/>
    <w:rsid w:val="00975FCF"/>
    <w:rsid w:val="0097716D"/>
    <w:rsid w:val="00980CA5"/>
    <w:rsid w:val="00980F92"/>
    <w:rsid w:val="00981374"/>
    <w:rsid w:val="0098250A"/>
    <w:rsid w:val="00982CF2"/>
    <w:rsid w:val="00985D35"/>
    <w:rsid w:val="009860A8"/>
    <w:rsid w:val="00986655"/>
    <w:rsid w:val="00987C19"/>
    <w:rsid w:val="00990DC7"/>
    <w:rsid w:val="00991369"/>
    <w:rsid w:val="0099178B"/>
    <w:rsid w:val="00992BDC"/>
    <w:rsid w:val="009930FD"/>
    <w:rsid w:val="00993B00"/>
    <w:rsid w:val="00993E9A"/>
    <w:rsid w:val="00994549"/>
    <w:rsid w:val="00994CA7"/>
    <w:rsid w:val="00994F26"/>
    <w:rsid w:val="00997384"/>
    <w:rsid w:val="00997638"/>
    <w:rsid w:val="009A07EE"/>
    <w:rsid w:val="009A087D"/>
    <w:rsid w:val="009A1B82"/>
    <w:rsid w:val="009A2408"/>
    <w:rsid w:val="009A2EDD"/>
    <w:rsid w:val="009A34E3"/>
    <w:rsid w:val="009A486A"/>
    <w:rsid w:val="009A4FFD"/>
    <w:rsid w:val="009A6736"/>
    <w:rsid w:val="009A6C29"/>
    <w:rsid w:val="009A6FD5"/>
    <w:rsid w:val="009B0E20"/>
    <w:rsid w:val="009B1E32"/>
    <w:rsid w:val="009B2529"/>
    <w:rsid w:val="009B3427"/>
    <w:rsid w:val="009B3452"/>
    <w:rsid w:val="009B5AED"/>
    <w:rsid w:val="009B5F84"/>
    <w:rsid w:val="009B61A4"/>
    <w:rsid w:val="009C0219"/>
    <w:rsid w:val="009C12FB"/>
    <w:rsid w:val="009C26AC"/>
    <w:rsid w:val="009C349C"/>
    <w:rsid w:val="009C6CFF"/>
    <w:rsid w:val="009D0225"/>
    <w:rsid w:val="009D0AC5"/>
    <w:rsid w:val="009D1BAF"/>
    <w:rsid w:val="009D22CE"/>
    <w:rsid w:val="009D2330"/>
    <w:rsid w:val="009D23B3"/>
    <w:rsid w:val="009D427A"/>
    <w:rsid w:val="009D4D56"/>
    <w:rsid w:val="009D5A17"/>
    <w:rsid w:val="009D627F"/>
    <w:rsid w:val="009D650C"/>
    <w:rsid w:val="009D672F"/>
    <w:rsid w:val="009D7254"/>
    <w:rsid w:val="009D7BF9"/>
    <w:rsid w:val="009E1AC6"/>
    <w:rsid w:val="009E2935"/>
    <w:rsid w:val="009E49C8"/>
    <w:rsid w:val="009E603D"/>
    <w:rsid w:val="009E60D8"/>
    <w:rsid w:val="009F1E84"/>
    <w:rsid w:val="009F2B4F"/>
    <w:rsid w:val="009F2B5A"/>
    <w:rsid w:val="009F3047"/>
    <w:rsid w:val="009F5875"/>
    <w:rsid w:val="009F671E"/>
    <w:rsid w:val="00A004C5"/>
    <w:rsid w:val="00A0255B"/>
    <w:rsid w:val="00A02B70"/>
    <w:rsid w:val="00A04450"/>
    <w:rsid w:val="00A0459C"/>
    <w:rsid w:val="00A0554A"/>
    <w:rsid w:val="00A05819"/>
    <w:rsid w:val="00A0582A"/>
    <w:rsid w:val="00A05E55"/>
    <w:rsid w:val="00A0771B"/>
    <w:rsid w:val="00A105D9"/>
    <w:rsid w:val="00A105F2"/>
    <w:rsid w:val="00A106DD"/>
    <w:rsid w:val="00A11AEE"/>
    <w:rsid w:val="00A11D8B"/>
    <w:rsid w:val="00A11EF0"/>
    <w:rsid w:val="00A125A7"/>
    <w:rsid w:val="00A125E0"/>
    <w:rsid w:val="00A12D46"/>
    <w:rsid w:val="00A13246"/>
    <w:rsid w:val="00A1427A"/>
    <w:rsid w:val="00A15B3B"/>
    <w:rsid w:val="00A15E9F"/>
    <w:rsid w:val="00A16695"/>
    <w:rsid w:val="00A16824"/>
    <w:rsid w:val="00A1690D"/>
    <w:rsid w:val="00A16E79"/>
    <w:rsid w:val="00A17A5F"/>
    <w:rsid w:val="00A2092B"/>
    <w:rsid w:val="00A2096C"/>
    <w:rsid w:val="00A20F64"/>
    <w:rsid w:val="00A216AA"/>
    <w:rsid w:val="00A218CC"/>
    <w:rsid w:val="00A21E4B"/>
    <w:rsid w:val="00A23A2D"/>
    <w:rsid w:val="00A249D3"/>
    <w:rsid w:val="00A25684"/>
    <w:rsid w:val="00A25978"/>
    <w:rsid w:val="00A26C8A"/>
    <w:rsid w:val="00A27106"/>
    <w:rsid w:val="00A30123"/>
    <w:rsid w:val="00A3058B"/>
    <w:rsid w:val="00A30947"/>
    <w:rsid w:val="00A3148D"/>
    <w:rsid w:val="00A323DB"/>
    <w:rsid w:val="00A3252D"/>
    <w:rsid w:val="00A325C3"/>
    <w:rsid w:val="00A326C9"/>
    <w:rsid w:val="00A328A5"/>
    <w:rsid w:val="00A32AB4"/>
    <w:rsid w:val="00A32C15"/>
    <w:rsid w:val="00A32CAD"/>
    <w:rsid w:val="00A3337F"/>
    <w:rsid w:val="00A362EA"/>
    <w:rsid w:val="00A3674A"/>
    <w:rsid w:val="00A406CA"/>
    <w:rsid w:val="00A40951"/>
    <w:rsid w:val="00A40AA7"/>
    <w:rsid w:val="00A40E00"/>
    <w:rsid w:val="00A4224E"/>
    <w:rsid w:val="00A4275E"/>
    <w:rsid w:val="00A42A3B"/>
    <w:rsid w:val="00A435B0"/>
    <w:rsid w:val="00A437B7"/>
    <w:rsid w:val="00A4412D"/>
    <w:rsid w:val="00A443F8"/>
    <w:rsid w:val="00A444DE"/>
    <w:rsid w:val="00A45743"/>
    <w:rsid w:val="00A46C6D"/>
    <w:rsid w:val="00A46EDE"/>
    <w:rsid w:val="00A47D6A"/>
    <w:rsid w:val="00A501FE"/>
    <w:rsid w:val="00A502E3"/>
    <w:rsid w:val="00A50C3A"/>
    <w:rsid w:val="00A529BF"/>
    <w:rsid w:val="00A529E1"/>
    <w:rsid w:val="00A52ECA"/>
    <w:rsid w:val="00A5381B"/>
    <w:rsid w:val="00A547A3"/>
    <w:rsid w:val="00A54FF7"/>
    <w:rsid w:val="00A5510A"/>
    <w:rsid w:val="00A562AD"/>
    <w:rsid w:val="00A56AD7"/>
    <w:rsid w:val="00A5727A"/>
    <w:rsid w:val="00A5738B"/>
    <w:rsid w:val="00A578E6"/>
    <w:rsid w:val="00A60E1F"/>
    <w:rsid w:val="00A619B3"/>
    <w:rsid w:val="00A6285F"/>
    <w:rsid w:val="00A63337"/>
    <w:rsid w:val="00A63F6D"/>
    <w:rsid w:val="00A64763"/>
    <w:rsid w:val="00A6527F"/>
    <w:rsid w:val="00A6674F"/>
    <w:rsid w:val="00A67734"/>
    <w:rsid w:val="00A701DF"/>
    <w:rsid w:val="00A70747"/>
    <w:rsid w:val="00A70987"/>
    <w:rsid w:val="00A71403"/>
    <w:rsid w:val="00A71A15"/>
    <w:rsid w:val="00A71D02"/>
    <w:rsid w:val="00A71E23"/>
    <w:rsid w:val="00A720D9"/>
    <w:rsid w:val="00A7289B"/>
    <w:rsid w:val="00A74316"/>
    <w:rsid w:val="00A750B4"/>
    <w:rsid w:val="00A75294"/>
    <w:rsid w:val="00A75598"/>
    <w:rsid w:val="00A756F4"/>
    <w:rsid w:val="00A75D1A"/>
    <w:rsid w:val="00A7645B"/>
    <w:rsid w:val="00A76F94"/>
    <w:rsid w:val="00A77505"/>
    <w:rsid w:val="00A80664"/>
    <w:rsid w:val="00A82E9A"/>
    <w:rsid w:val="00A83E6B"/>
    <w:rsid w:val="00A85179"/>
    <w:rsid w:val="00A8545A"/>
    <w:rsid w:val="00A8630E"/>
    <w:rsid w:val="00A86809"/>
    <w:rsid w:val="00A86D42"/>
    <w:rsid w:val="00A8745D"/>
    <w:rsid w:val="00A90D7D"/>
    <w:rsid w:val="00A91EA8"/>
    <w:rsid w:val="00A92925"/>
    <w:rsid w:val="00A92F01"/>
    <w:rsid w:val="00A9538D"/>
    <w:rsid w:val="00A96823"/>
    <w:rsid w:val="00A97563"/>
    <w:rsid w:val="00AA34D7"/>
    <w:rsid w:val="00AA4DFE"/>
    <w:rsid w:val="00AA6BBA"/>
    <w:rsid w:val="00AA6D87"/>
    <w:rsid w:val="00AB1DAF"/>
    <w:rsid w:val="00AB28D0"/>
    <w:rsid w:val="00AB5FB5"/>
    <w:rsid w:val="00AB6372"/>
    <w:rsid w:val="00AB74C6"/>
    <w:rsid w:val="00AC0969"/>
    <w:rsid w:val="00AC10D7"/>
    <w:rsid w:val="00AC19B8"/>
    <w:rsid w:val="00AC242D"/>
    <w:rsid w:val="00AC24EE"/>
    <w:rsid w:val="00AC2857"/>
    <w:rsid w:val="00AC2AC8"/>
    <w:rsid w:val="00AC2C5B"/>
    <w:rsid w:val="00AC3108"/>
    <w:rsid w:val="00AC3327"/>
    <w:rsid w:val="00AC4EE4"/>
    <w:rsid w:val="00AC5298"/>
    <w:rsid w:val="00AC709C"/>
    <w:rsid w:val="00AC765C"/>
    <w:rsid w:val="00AD0EB7"/>
    <w:rsid w:val="00AD14A2"/>
    <w:rsid w:val="00AD1772"/>
    <w:rsid w:val="00AD2CB3"/>
    <w:rsid w:val="00AD30F5"/>
    <w:rsid w:val="00AD3BE0"/>
    <w:rsid w:val="00AD3F8E"/>
    <w:rsid w:val="00AD58A9"/>
    <w:rsid w:val="00AD60DC"/>
    <w:rsid w:val="00AD6C25"/>
    <w:rsid w:val="00AD7660"/>
    <w:rsid w:val="00AD77E2"/>
    <w:rsid w:val="00AD7D72"/>
    <w:rsid w:val="00AD7F13"/>
    <w:rsid w:val="00AE0259"/>
    <w:rsid w:val="00AE1239"/>
    <w:rsid w:val="00AE1481"/>
    <w:rsid w:val="00AE2918"/>
    <w:rsid w:val="00AE2C4D"/>
    <w:rsid w:val="00AE6264"/>
    <w:rsid w:val="00AE6EB0"/>
    <w:rsid w:val="00AE7487"/>
    <w:rsid w:val="00AE74DD"/>
    <w:rsid w:val="00AE7EC2"/>
    <w:rsid w:val="00AF0AA6"/>
    <w:rsid w:val="00AF1DBA"/>
    <w:rsid w:val="00AF215D"/>
    <w:rsid w:val="00AF2C9F"/>
    <w:rsid w:val="00AF305F"/>
    <w:rsid w:val="00AF382F"/>
    <w:rsid w:val="00AF396E"/>
    <w:rsid w:val="00AF4DCC"/>
    <w:rsid w:val="00AF5DF7"/>
    <w:rsid w:val="00AF6E59"/>
    <w:rsid w:val="00AF7AC3"/>
    <w:rsid w:val="00AF7EA4"/>
    <w:rsid w:val="00B00F43"/>
    <w:rsid w:val="00B01391"/>
    <w:rsid w:val="00B023AD"/>
    <w:rsid w:val="00B026FA"/>
    <w:rsid w:val="00B03867"/>
    <w:rsid w:val="00B04634"/>
    <w:rsid w:val="00B059F7"/>
    <w:rsid w:val="00B05BFE"/>
    <w:rsid w:val="00B06CFF"/>
    <w:rsid w:val="00B072F0"/>
    <w:rsid w:val="00B10142"/>
    <w:rsid w:val="00B1117A"/>
    <w:rsid w:val="00B11EC9"/>
    <w:rsid w:val="00B12015"/>
    <w:rsid w:val="00B12603"/>
    <w:rsid w:val="00B138DC"/>
    <w:rsid w:val="00B14349"/>
    <w:rsid w:val="00B14840"/>
    <w:rsid w:val="00B14C2E"/>
    <w:rsid w:val="00B15790"/>
    <w:rsid w:val="00B167BF"/>
    <w:rsid w:val="00B16D3C"/>
    <w:rsid w:val="00B200A6"/>
    <w:rsid w:val="00B2011C"/>
    <w:rsid w:val="00B202F0"/>
    <w:rsid w:val="00B20327"/>
    <w:rsid w:val="00B2074E"/>
    <w:rsid w:val="00B21541"/>
    <w:rsid w:val="00B21BE6"/>
    <w:rsid w:val="00B21E63"/>
    <w:rsid w:val="00B2262A"/>
    <w:rsid w:val="00B22956"/>
    <w:rsid w:val="00B23356"/>
    <w:rsid w:val="00B240CC"/>
    <w:rsid w:val="00B24D62"/>
    <w:rsid w:val="00B251C5"/>
    <w:rsid w:val="00B255F5"/>
    <w:rsid w:val="00B25639"/>
    <w:rsid w:val="00B26CCB"/>
    <w:rsid w:val="00B27B71"/>
    <w:rsid w:val="00B27DD0"/>
    <w:rsid w:val="00B30031"/>
    <w:rsid w:val="00B31279"/>
    <w:rsid w:val="00B3260E"/>
    <w:rsid w:val="00B327E2"/>
    <w:rsid w:val="00B32A81"/>
    <w:rsid w:val="00B32D2F"/>
    <w:rsid w:val="00B33980"/>
    <w:rsid w:val="00B368E3"/>
    <w:rsid w:val="00B36E0C"/>
    <w:rsid w:val="00B37E4A"/>
    <w:rsid w:val="00B401EC"/>
    <w:rsid w:val="00B40C68"/>
    <w:rsid w:val="00B40C8E"/>
    <w:rsid w:val="00B41518"/>
    <w:rsid w:val="00B4198D"/>
    <w:rsid w:val="00B41BA7"/>
    <w:rsid w:val="00B421B6"/>
    <w:rsid w:val="00B42880"/>
    <w:rsid w:val="00B42935"/>
    <w:rsid w:val="00B42AC8"/>
    <w:rsid w:val="00B42D61"/>
    <w:rsid w:val="00B437F3"/>
    <w:rsid w:val="00B43A06"/>
    <w:rsid w:val="00B45423"/>
    <w:rsid w:val="00B46875"/>
    <w:rsid w:val="00B46A18"/>
    <w:rsid w:val="00B46DD2"/>
    <w:rsid w:val="00B474DC"/>
    <w:rsid w:val="00B478E1"/>
    <w:rsid w:val="00B47DD8"/>
    <w:rsid w:val="00B47F3D"/>
    <w:rsid w:val="00B50442"/>
    <w:rsid w:val="00B50A01"/>
    <w:rsid w:val="00B521C5"/>
    <w:rsid w:val="00B5292E"/>
    <w:rsid w:val="00B53064"/>
    <w:rsid w:val="00B53461"/>
    <w:rsid w:val="00B534AB"/>
    <w:rsid w:val="00B545E3"/>
    <w:rsid w:val="00B551B3"/>
    <w:rsid w:val="00B55C42"/>
    <w:rsid w:val="00B56A66"/>
    <w:rsid w:val="00B570C3"/>
    <w:rsid w:val="00B60C57"/>
    <w:rsid w:val="00B63CC5"/>
    <w:rsid w:val="00B65671"/>
    <w:rsid w:val="00B66114"/>
    <w:rsid w:val="00B664EA"/>
    <w:rsid w:val="00B6681D"/>
    <w:rsid w:val="00B669E8"/>
    <w:rsid w:val="00B66FAD"/>
    <w:rsid w:val="00B6728B"/>
    <w:rsid w:val="00B70A78"/>
    <w:rsid w:val="00B72815"/>
    <w:rsid w:val="00B73AFD"/>
    <w:rsid w:val="00B743FC"/>
    <w:rsid w:val="00B7507B"/>
    <w:rsid w:val="00B75B0C"/>
    <w:rsid w:val="00B7667D"/>
    <w:rsid w:val="00B7685A"/>
    <w:rsid w:val="00B76BC5"/>
    <w:rsid w:val="00B77186"/>
    <w:rsid w:val="00B77232"/>
    <w:rsid w:val="00B77D5A"/>
    <w:rsid w:val="00B8034C"/>
    <w:rsid w:val="00B80A44"/>
    <w:rsid w:val="00B84233"/>
    <w:rsid w:val="00B84DCA"/>
    <w:rsid w:val="00B8575E"/>
    <w:rsid w:val="00B85BE1"/>
    <w:rsid w:val="00B85CEC"/>
    <w:rsid w:val="00B86650"/>
    <w:rsid w:val="00B86B5F"/>
    <w:rsid w:val="00B874EF"/>
    <w:rsid w:val="00B876EB"/>
    <w:rsid w:val="00B90017"/>
    <w:rsid w:val="00B9031B"/>
    <w:rsid w:val="00B90FBE"/>
    <w:rsid w:val="00B91110"/>
    <w:rsid w:val="00B92E72"/>
    <w:rsid w:val="00B9406D"/>
    <w:rsid w:val="00B9599A"/>
    <w:rsid w:val="00B962D9"/>
    <w:rsid w:val="00B966AF"/>
    <w:rsid w:val="00B96CC4"/>
    <w:rsid w:val="00B97873"/>
    <w:rsid w:val="00B97BEE"/>
    <w:rsid w:val="00BA039F"/>
    <w:rsid w:val="00BA15F3"/>
    <w:rsid w:val="00BA244B"/>
    <w:rsid w:val="00BA2D4C"/>
    <w:rsid w:val="00BA2F52"/>
    <w:rsid w:val="00BA367B"/>
    <w:rsid w:val="00BA40D0"/>
    <w:rsid w:val="00BA4330"/>
    <w:rsid w:val="00BA46FA"/>
    <w:rsid w:val="00BA4B34"/>
    <w:rsid w:val="00BA604F"/>
    <w:rsid w:val="00BA6A34"/>
    <w:rsid w:val="00BA6A57"/>
    <w:rsid w:val="00BA7117"/>
    <w:rsid w:val="00BA794F"/>
    <w:rsid w:val="00BA7979"/>
    <w:rsid w:val="00BA7DE1"/>
    <w:rsid w:val="00BB013A"/>
    <w:rsid w:val="00BB086B"/>
    <w:rsid w:val="00BB20C0"/>
    <w:rsid w:val="00BB38EB"/>
    <w:rsid w:val="00BB485B"/>
    <w:rsid w:val="00BB71AC"/>
    <w:rsid w:val="00BB738B"/>
    <w:rsid w:val="00BC012F"/>
    <w:rsid w:val="00BC0A5A"/>
    <w:rsid w:val="00BC0A81"/>
    <w:rsid w:val="00BC0BA1"/>
    <w:rsid w:val="00BC0C42"/>
    <w:rsid w:val="00BC119F"/>
    <w:rsid w:val="00BC266B"/>
    <w:rsid w:val="00BC2ACB"/>
    <w:rsid w:val="00BC3FAE"/>
    <w:rsid w:val="00BC4393"/>
    <w:rsid w:val="00BC4DC0"/>
    <w:rsid w:val="00BC5513"/>
    <w:rsid w:val="00BC6316"/>
    <w:rsid w:val="00BC6C48"/>
    <w:rsid w:val="00BC718B"/>
    <w:rsid w:val="00BC748B"/>
    <w:rsid w:val="00BC7764"/>
    <w:rsid w:val="00BC7904"/>
    <w:rsid w:val="00BC7A27"/>
    <w:rsid w:val="00BD11FC"/>
    <w:rsid w:val="00BD1F0D"/>
    <w:rsid w:val="00BD2474"/>
    <w:rsid w:val="00BD32F4"/>
    <w:rsid w:val="00BD42E6"/>
    <w:rsid w:val="00BD43F1"/>
    <w:rsid w:val="00BD53E6"/>
    <w:rsid w:val="00BD6C4D"/>
    <w:rsid w:val="00BD7383"/>
    <w:rsid w:val="00BE030F"/>
    <w:rsid w:val="00BE1DFB"/>
    <w:rsid w:val="00BE1EB5"/>
    <w:rsid w:val="00BE2217"/>
    <w:rsid w:val="00BE3C11"/>
    <w:rsid w:val="00BE517B"/>
    <w:rsid w:val="00BE522D"/>
    <w:rsid w:val="00BF041F"/>
    <w:rsid w:val="00BF065F"/>
    <w:rsid w:val="00BF15E0"/>
    <w:rsid w:val="00BF1A2D"/>
    <w:rsid w:val="00BF48CB"/>
    <w:rsid w:val="00BF5003"/>
    <w:rsid w:val="00BF5012"/>
    <w:rsid w:val="00BF58CF"/>
    <w:rsid w:val="00BF609F"/>
    <w:rsid w:val="00BF61E7"/>
    <w:rsid w:val="00BF64CF"/>
    <w:rsid w:val="00BF77C7"/>
    <w:rsid w:val="00BF7DD0"/>
    <w:rsid w:val="00C00065"/>
    <w:rsid w:val="00C00F9F"/>
    <w:rsid w:val="00C01C30"/>
    <w:rsid w:val="00C01F6D"/>
    <w:rsid w:val="00C02FED"/>
    <w:rsid w:val="00C03A92"/>
    <w:rsid w:val="00C03F4A"/>
    <w:rsid w:val="00C046B2"/>
    <w:rsid w:val="00C05153"/>
    <w:rsid w:val="00C05339"/>
    <w:rsid w:val="00C061FE"/>
    <w:rsid w:val="00C06449"/>
    <w:rsid w:val="00C069A5"/>
    <w:rsid w:val="00C06AC4"/>
    <w:rsid w:val="00C06F7B"/>
    <w:rsid w:val="00C07384"/>
    <w:rsid w:val="00C102CC"/>
    <w:rsid w:val="00C10DE8"/>
    <w:rsid w:val="00C114CB"/>
    <w:rsid w:val="00C15922"/>
    <w:rsid w:val="00C17329"/>
    <w:rsid w:val="00C1751A"/>
    <w:rsid w:val="00C17D59"/>
    <w:rsid w:val="00C20E4D"/>
    <w:rsid w:val="00C22CDA"/>
    <w:rsid w:val="00C2341C"/>
    <w:rsid w:val="00C235E9"/>
    <w:rsid w:val="00C23A10"/>
    <w:rsid w:val="00C25237"/>
    <w:rsid w:val="00C25525"/>
    <w:rsid w:val="00C25CFA"/>
    <w:rsid w:val="00C25D23"/>
    <w:rsid w:val="00C26E0E"/>
    <w:rsid w:val="00C27270"/>
    <w:rsid w:val="00C27D9E"/>
    <w:rsid w:val="00C317A6"/>
    <w:rsid w:val="00C3192B"/>
    <w:rsid w:val="00C32108"/>
    <w:rsid w:val="00C32F15"/>
    <w:rsid w:val="00C33BB7"/>
    <w:rsid w:val="00C33C52"/>
    <w:rsid w:val="00C33C64"/>
    <w:rsid w:val="00C33CC4"/>
    <w:rsid w:val="00C34FA3"/>
    <w:rsid w:val="00C35188"/>
    <w:rsid w:val="00C354D2"/>
    <w:rsid w:val="00C357CB"/>
    <w:rsid w:val="00C36C44"/>
    <w:rsid w:val="00C36E8E"/>
    <w:rsid w:val="00C4070F"/>
    <w:rsid w:val="00C4091B"/>
    <w:rsid w:val="00C42316"/>
    <w:rsid w:val="00C430F0"/>
    <w:rsid w:val="00C43C00"/>
    <w:rsid w:val="00C44532"/>
    <w:rsid w:val="00C4543C"/>
    <w:rsid w:val="00C45534"/>
    <w:rsid w:val="00C45825"/>
    <w:rsid w:val="00C45890"/>
    <w:rsid w:val="00C45F1D"/>
    <w:rsid w:val="00C47375"/>
    <w:rsid w:val="00C47D28"/>
    <w:rsid w:val="00C47EDC"/>
    <w:rsid w:val="00C50081"/>
    <w:rsid w:val="00C501A8"/>
    <w:rsid w:val="00C5124F"/>
    <w:rsid w:val="00C5181B"/>
    <w:rsid w:val="00C521F2"/>
    <w:rsid w:val="00C53593"/>
    <w:rsid w:val="00C53A2B"/>
    <w:rsid w:val="00C54578"/>
    <w:rsid w:val="00C5530F"/>
    <w:rsid w:val="00C57156"/>
    <w:rsid w:val="00C615CA"/>
    <w:rsid w:val="00C616C8"/>
    <w:rsid w:val="00C6272D"/>
    <w:rsid w:val="00C637D2"/>
    <w:rsid w:val="00C6448B"/>
    <w:rsid w:val="00C65E1E"/>
    <w:rsid w:val="00C66AFB"/>
    <w:rsid w:val="00C6782B"/>
    <w:rsid w:val="00C67DEE"/>
    <w:rsid w:val="00C70253"/>
    <w:rsid w:val="00C707B0"/>
    <w:rsid w:val="00C70D92"/>
    <w:rsid w:val="00C712E3"/>
    <w:rsid w:val="00C7172C"/>
    <w:rsid w:val="00C71825"/>
    <w:rsid w:val="00C75C65"/>
    <w:rsid w:val="00C75FB9"/>
    <w:rsid w:val="00C76DA1"/>
    <w:rsid w:val="00C7736F"/>
    <w:rsid w:val="00C7768A"/>
    <w:rsid w:val="00C776AD"/>
    <w:rsid w:val="00C777E8"/>
    <w:rsid w:val="00C77D59"/>
    <w:rsid w:val="00C80F9D"/>
    <w:rsid w:val="00C8137D"/>
    <w:rsid w:val="00C81817"/>
    <w:rsid w:val="00C82174"/>
    <w:rsid w:val="00C8294F"/>
    <w:rsid w:val="00C82E45"/>
    <w:rsid w:val="00C82F9D"/>
    <w:rsid w:val="00C82FE5"/>
    <w:rsid w:val="00C83428"/>
    <w:rsid w:val="00C84AE2"/>
    <w:rsid w:val="00C85F88"/>
    <w:rsid w:val="00C9066B"/>
    <w:rsid w:val="00C90EA0"/>
    <w:rsid w:val="00C9162C"/>
    <w:rsid w:val="00C92980"/>
    <w:rsid w:val="00C957C5"/>
    <w:rsid w:val="00C96157"/>
    <w:rsid w:val="00C974AB"/>
    <w:rsid w:val="00CA0373"/>
    <w:rsid w:val="00CA06BF"/>
    <w:rsid w:val="00CA0973"/>
    <w:rsid w:val="00CA1282"/>
    <w:rsid w:val="00CA147F"/>
    <w:rsid w:val="00CA2F0C"/>
    <w:rsid w:val="00CA31DD"/>
    <w:rsid w:val="00CA38B7"/>
    <w:rsid w:val="00CA39D9"/>
    <w:rsid w:val="00CA3CA3"/>
    <w:rsid w:val="00CA4AE4"/>
    <w:rsid w:val="00CA55C8"/>
    <w:rsid w:val="00CA5653"/>
    <w:rsid w:val="00CA6CEC"/>
    <w:rsid w:val="00CB05DE"/>
    <w:rsid w:val="00CB08A9"/>
    <w:rsid w:val="00CB18F1"/>
    <w:rsid w:val="00CB1E22"/>
    <w:rsid w:val="00CB4778"/>
    <w:rsid w:val="00CB4D6E"/>
    <w:rsid w:val="00CB5B88"/>
    <w:rsid w:val="00CB727E"/>
    <w:rsid w:val="00CB791F"/>
    <w:rsid w:val="00CC1A40"/>
    <w:rsid w:val="00CC208B"/>
    <w:rsid w:val="00CC3304"/>
    <w:rsid w:val="00CC64F4"/>
    <w:rsid w:val="00CC7C30"/>
    <w:rsid w:val="00CD0D9E"/>
    <w:rsid w:val="00CD0F4B"/>
    <w:rsid w:val="00CD1F58"/>
    <w:rsid w:val="00CD2316"/>
    <w:rsid w:val="00CD2A48"/>
    <w:rsid w:val="00CD4AC1"/>
    <w:rsid w:val="00CD5B17"/>
    <w:rsid w:val="00CD610E"/>
    <w:rsid w:val="00CD7A0E"/>
    <w:rsid w:val="00CE0144"/>
    <w:rsid w:val="00CE05E4"/>
    <w:rsid w:val="00CE1408"/>
    <w:rsid w:val="00CE19CC"/>
    <w:rsid w:val="00CE1B3F"/>
    <w:rsid w:val="00CE4731"/>
    <w:rsid w:val="00CE498B"/>
    <w:rsid w:val="00CE5155"/>
    <w:rsid w:val="00CE65A6"/>
    <w:rsid w:val="00CE7009"/>
    <w:rsid w:val="00CE7769"/>
    <w:rsid w:val="00CF02D2"/>
    <w:rsid w:val="00CF197C"/>
    <w:rsid w:val="00CF25A9"/>
    <w:rsid w:val="00CF2CDB"/>
    <w:rsid w:val="00CF3470"/>
    <w:rsid w:val="00CF368C"/>
    <w:rsid w:val="00CF3BD4"/>
    <w:rsid w:val="00CF597F"/>
    <w:rsid w:val="00CF6A5A"/>
    <w:rsid w:val="00CF7596"/>
    <w:rsid w:val="00D011F5"/>
    <w:rsid w:val="00D0174E"/>
    <w:rsid w:val="00D0413F"/>
    <w:rsid w:val="00D0529A"/>
    <w:rsid w:val="00D05BCE"/>
    <w:rsid w:val="00D05F97"/>
    <w:rsid w:val="00D0678F"/>
    <w:rsid w:val="00D06F15"/>
    <w:rsid w:val="00D07CCB"/>
    <w:rsid w:val="00D07D0F"/>
    <w:rsid w:val="00D1049C"/>
    <w:rsid w:val="00D10BFC"/>
    <w:rsid w:val="00D12362"/>
    <w:rsid w:val="00D130A7"/>
    <w:rsid w:val="00D1358B"/>
    <w:rsid w:val="00D1375B"/>
    <w:rsid w:val="00D13AAB"/>
    <w:rsid w:val="00D14644"/>
    <w:rsid w:val="00D14C34"/>
    <w:rsid w:val="00D1531C"/>
    <w:rsid w:val="00D15636"/>
    <w:rsid w:val="00D15AAE"/>
    <w:rsid w:val="00D1654A"/>
    <w:rsid w:val="00D16DBA"/>
    <w:rsid w:val="00D170C1"/>
    <w:rsid w:val="00D17F37"/>
    <w:rsid w:val="00D20831"/>
    <w:rsid w:val="00D21CDE"/>
    <w:rsid w:val="00D21CF6"/>
    <w:rsid w:val="00D222D6"/>
    <w:rsid w:val="00D22FA2"/>
    <w:rsid w:val="00D2422C"/>
    <w:rsid w:val="00D25A49"/>
    <w:rsid w:val="00D2684F"/>
    <w:rsid w:val="00D26EA4"/>
    <w:rsid w:val="00D31FEC"/>
    <w:rsid w:val="00D32AC0"/>
    <w:rsid w:val="00D331A8"/>
    <w:rsid w:val="00D357C0"/>
    <w:rsid w:val="00D36292"/>
    <w:rsid w:val="00D3664D"/>
    <w:rsid w:val="00D36A37"/>
    <w:rsid w:val="00D36A9E"/>
    <w:rsid w:val="00D40570"/>
    <w:rsid w:val="00D41775"/>
    <w:rsid w:val="00D42D83"/>
    <w:rsid w:val="00D44143"/>
    <w:rsid w:val="00D44C5A"/>
    <w:rsid w:val="00D4700E"/>
    <w:rsid w:val="00D47919"/>
    <w:rsid w:val="00D527AC"/>
    <w:rsid w:val="00D52C68"/>
    <w:rsid w:val="00D52D1B"/>
    <w:rsid w:val="00D52F2A"/>
    <w:rsid w:val="00D54107"/>
    <w:rsid w:val="00D54EC7"/>
    <w:rsid w:val="00D5550D"/>
    <w:rsid w:val="00D557D8"/>
    <w:rsid w:val="00D5796B"/>
    <w:rsid w:val="00D602B2"/>
    <w:rsid w:val="00D6057E"/>
    <w:rsid w:val="00D610DA"/>
    <w:rsid w:val="00D61682"/>
    <w:rsid w:val="00D63670"/>
    <w:rsid w:val="00D644DB"/>
    <w:rsid w:val="00D648EE"/>
    <w:rsid w:val="00D64DF6"/>
    <w:rsid w:val="00D653BA"/>
    <w:rsid w:val="00D65CA7"/>
    <w:rsid w:val="00D6642E"/>
    <w:rsid w:val="00D66C8D"/>
    <w:rsid w:val="00D678AB"/>
    <w:rsid w:val="00D7025C"/>
    <w:rsid w:val="00D70755"/>
    <w:rsid w:val="00D70ABE"/>
    <w:rsid w:val="00D71773"/>
    <w:rsid w:val="00D7218C"/>
    <w:rsid w:val="00D7248A"/>
    <w:rsid w:val="00D725D5"/>
    <w:rsid w:val="00D72ADF"/>
    <w:rsid w:val="00D73616"/>
    <w:rsid w:val="00D73748"/>
    <w:rsid w:val="00D73B52"/>
    <w:rsid w:val="00D7435B"/>
    <w:rsid w:val="00D7571F"/>
    <w:rsid w:val="00D75777"/>
    <w:rsid w:val="00D7580B"/>
    <w:rsid w:val="00D76790"/>
    <w:rsid w:val="00D80FE4"/>
    <w:rsid w:val="00D82EC6"/>
    <w:rsid w:val="00D8396F"/>
    <w:rsid w:val="00D84307"/>
    <w:rsid w:val="00D84501"/>
    <w:rsid w:val="00D84557"/>
    <w:rsid w:val="00D86223"/>
    <w:rsid w:val="00D8672A"/>
    <w:rsid w:val="00D87273"/>
    <w:rsid w:val="00D906DF"/>
    <w:rsid w:val="00D9134B"/>
    <w:rsid w:val="00D91F6E"/>
    <w:rsid w:val="00D93CDE"/>
    <w:rsid w:val="00D95256"/>
    <w:rsid w:val="00D97B00"/>
    <w:rsid w:val="00DA160F"/>
    <w:rsid w:val="00DA17DD"/>
    <w:rsid w:val="00DA2335"/>
    <w:rsid w:val="00DA25B8"/>
    <w:rsid w:val="00DA3229"/>
    <w:rsid w:val="00DA35AA"/>
    <w:rsid w:val="00DA394A"/>
    <w:rsid w:val="00DA396E"/>
    <w:rsid w:val="00DA5031"/>
    <w:rsid w:val="00DA539D"/>
    <w:rsid w:val="00DA771D"/>
    <w:rsid w:val="00DB125D"/>
    <w:rsid w:val="00DB166E"/>
    <w:rsid w:val="00DB16EE"/>
    <w:rsid w:val="00DB24A5"/>
    <w:rsid w:val="00DB26E9"/>
    <w:rsid w:val="00DB26F3"/>
    <w:rsid w:val="00DB466E"/>
    <w:rsid w:val="00DB47DC"/>
    <w:rsid w:val="00DB54CF"/>
    <w:rsid w:val="00DB6063"/>
    <w:rsid w:val="00DB654C"/>
    <w:rsid w:val="00DB6C09"/>
    <w:rsid w:val="00DC07D9"/>
    <w:rsid w:val="00DC0E56"/>
    <w:rsid w:val="00DC1726"/>
    <w:rsid w:val="00DC2F55"/>
    <w:rsid w:val="00DC3EA4"/>
    <w:rsid w:val="00DC45D7"/>
    <w:rsid w:val="00DC49BA"/>
    <w:rsid w:val="00DC58BA"/>
    <w:rsid w:val="00DC77D4"/>
    <w:rsid w:val="00DD18D8"/>
    <w:rsid w:val="00DD6C16"/>
    <w:rsid w:val="00DD734C"/>
    <w:rsid w:val="00DE01BB"/>
    <w:rsid w:val="00DE21CE"/>
    <w:rsid w:val="00DE26E8"/>
    <w:rsid w:val="00DE2BC2"/>
    <w:rsid w:val="00DE2FF8"/>
    <w:rsid w:val="00DE3044"/>
    <w:rsid w:val="00DE3EF1"/>
    <w:rsid w:val="00DE53EE"/>
    <w:rsid w:val="00DE5414"/>
    <w:rsid w:val="00DE715E"/>
    <w:rsid w:val="00DE7FC6"/>
    <w:rsid w:val="00DF0FF4"/>
    <w:rsid w:val="00DF1A52"/>
    <w:rsid w:val="00DF1D1E"/>
    <w:rsid w:val="00DF2501"/>
    <w:rsid w:val="00DF406E"/>
    <w:rsid w:val="00DF4676"/>
    <w:rsid w:val="00DF4D03"/>
    <w:rsid w:val="00DF5416"/>
    <w:rsid w:val="00DF5FCB"/>
    <w:rsid w:val="00E003D8"/>
    <w:rsid w:val="00E01785"/>
    <w:rsid w:val="00E01A94"/>
    <w:rsid w:val="00E023F6"/>
    <w:rsid w:val="00E0455A"/>
    <w:rsid w:val="00E04B47"/>
    <w:rsid w:val="00E04CC2"/>
    <w:rsid w:val="00E05424"/>
    <w:rsid w:val="00E05F24"/>
    <w:rsid w:val="00E0602D"/>
    <w:rsid w:val="00E07932"/>
    <w:rsid w:val="00E10695"/>
    <w:rsid w:val="00E109BB"/>
    <w:rsid w:val="00E1225F"/>
    <w:rsid w:val="00E12CE0"/>
    <w:rsid w:val="00E12DCA"/>
    <w:rsid w:val="00E134F4"/>
    <w:rsid w:val="00E14010"/>
    <w:rsid w:val="00E14A34"/>
    <w:rsid w:val="00E17116"/>
    <w:rsid w:val="00E17D81"/>
    <w:rsid w:val="00E20368"/>
    <w:rsid w:val="00E20DBB"/>
    <w:rsid w:val="00E20E4B"/>
    <w:rsid w:val="00E21319"/>
    <w:rsid w:val="00E213DE"/>
    <w:rsid w:val="00E21D55"/>
    <w:rsid w:val="00E22A92"/>
    <w:rsid w:val="00E22AD0"/>
    <w:rsid w:val="00E23365"/>
    <w:rsid w:val="00E2473D"/>
    <w:rsid w:val="00E24B7D"/>
    <w:rsid w:val="00E2531C"/>
    <w:rsid w:val="00E2588A"/>
    <w:rsid w:val="00E25F32"/>
    <w:rsid w:val="00E2790D"/>
    <w:rsid w:val="00E27FAE"/>
    <w:rsid w:val="00E30486"/>
    <w:rsid w:val="00E3097E"/>
    <w:rsid w:val="00E31F3A"/>
    <w:rsid w:val="00E326BE"/>
    <w:rsid w:val="00E32F7B"/>
    <w:rsid w:val="00E33253"/>
    <w:rsid w:val="00E33266"/>
    <w:rsid w:val="00E34B75"/>
    <w:rsid w:val="00E3526F"/>
    <w:rsid w:val="00E35619"/>
    <w:rsid w:val="00E37DFF"/>
    <w:rsid w:val="00E4013F"/>
    <w:rsid w:val="00E4201A"/>
    <w:rsid w:val="00E42105"/>
    <w:rsid w:val="00E4272C"/>
    <w:rsid w:val="00E43C80"/>
    <w:rsid w:val="00E44034"/>
    <w:rsid w:val="00E44C49"/>
    <w:rsid w:val="00E44C8A"/>
    <w:rsid w:val="00E45252"/>
    <w:rsid w:val="00E45773"/>
    <w:rsid w:val="00E47065"/>
    <w:rsid w:val="00E4740E"/>
    <w:rsid w:val="00E500FB"/>
    <w:rsid w:val="00E50635"/>
    <w:rsid w:val="00E5145D"/>
    <w:rsid w:val="00E515F3"/>
    <w:rsid w:val="00E519B4"/>
    <w:rsid w:val="00E5216C"/>
    <w:rsid w:val="00E52773"/>
    <w:rsid w:val="00E528E0"/>
    <w:rsid w:val="00E53042"/>
    <w:rsid w:val="00E533D8"/>
    <w:rsid w:val="00E536F2"/>
    <w:rsid w:val="00E54038"/>
    <w:rsid w:val="00E5487C"/>
    <w:rsid w:val="00E54E1F"/>
    <w:rsid w:val="00E55292"/>
    <w:rsid w:val="00E556DC"/>
    <w:rsid w:val="00E562B6"/>
    <w:rsid w:val="00E56FED"/>
    <w:rsid w:val="00E57298"/>
    <w:rsid w:val="00E572BC"/>
    <w:rsid w:val="00E57A46"/>
    <w:rsid w:val="00E60D05"/>
    <w:rsid w:val="00E60EDC"/>
    <w:rsid w:val="00E6193A"/>
    <w:rsid w:val="00E61DF0"/>
    <w:rsid w:val="00E6273F"/>
    <w:rsid w:val="00E63A13"/>
    <w:rsid w:val="00E63A7F"/>
    <w:rsid w:val="00E66A53"/>
    <w:rsid w:val="00E67110"/>
    <w:rsid w:val="00E67BC2"/>
    <w:rsid w:val="00E67F4A"/>
    <w:rsid w:val="00E71858"/>
    <w:rsid w:val="00E71B64"/>
    <w:rsid w:val="00E72A72"/>
    <w:rsid w:val="00E740BA"/>
    <w:rsid w:val="00E744F4"/>
    <w:rsid w:val="00E75F30"/>
    <w:rsid w:val="00E761F1"/>
    <w:rsid w:val="00E76DDC"/>
    <w:rsid w:val="00E77F3C"/>
    <w:rsid w:val="00E809D0"/>
    <w:rsid w:val="00E80CB1"/>
    <w:rsid w:val="00E82210"/>
    <w:rsid w:val="00E8440E"/>
    <w:rsid w:val="00E84F8D"/>
    <w:rsid w:val="00E853B0"/>
    <w:rsid w:val="00E857B3"/>
    <w:rsid w:val="00E85905"/>
    <w:rsid w:val="00E85D4B"/>
    <w:rsid w:val="00E86120"/>
    <w:rsid w:val="00E8686D"/>
    <w:rsid w:val="00E877F1"/>
    <w:rsid w:val="00E90B51"/>
    <w:rsid w:val="00E916A0"/>
    <w:rsid w:val="00E926FC"/>
    <w:rsid w:val="00E93952"/>
    <w:rsid w:val="00E93D00"/>
    <w:rsid w:val="00E95B84"/>
    <w:rsid w:val="00E966FB"/>
    <w:rsid w:val="00E96AB0"/>
    <w:rsid w:val="00E97A1D"/>
    <w:rsid w:val="00EA022F"/>
    <w:rsid w:val="00EA0249"/>
    <w:rsid w:val="00EA0DF6"/>
    <w:rsid w:val="00EA1546"/>
    <w:rsid w:val="00EA23B2"/>
    <w:rsid w:val="00EA27BD"/>
    <w:rsid w:val="00EA2F48"/>
    <w:rsid w:val="00EA31B3"/>
    <w:rsid w:val="00EA3457"/>
    <w:rsid w:val="00EA37DA"/>
    <w:rsid w:val="00EA44E4"/>
    <w:rsid w:val="00EA70F4"/>
    <w:rsid w:val="00EA7447"/>
    <w:rsid w:val="00EA7643"/>
    <w:rsid w:val="00EA7647"/>
    <w:rsid w:val="00EA77DB"/>
    <w:rsid w:val="00EB1ED6"/>
    <w:rsid w:val="00EB57EC"/>
    <w:rsid w:val="00EB62D8"/>
    <w:rsid w:val="00EB6CA3"/>
    <w:rsid w:val="00EB71FC"/>
    <w:rsid w:val="00EB7613"/>
    <w:rsid w:val="00EC1ADD"/>
    <w:rsid w:val="00EC28BF"/>
    <w:rsid w:val="00EC2D35"/>
    <w:rsid w:val="00EC466B"/>
    <w:rsid w:val="00EC55FB"/>
    <w:rsid w:val="00EC5A11"/>
    <w:rsid w:val="00EC6213"/>
    <w:rsid w:val="00EC67B1"/>
    <w:rsid w:val="00EC68BD"/>
    <w:rsid w:val="00EC6B2A"/>
    <w:rsid w:val="00EC6C5B"/>
    <w:rsid w:val="00EC6CBB"/>
    <w:rsid w:val="00EC7D5E"/>
    <w:rsid w:val="00EC7E2E"/>
    <w:rsid w:val="00ED1098"/>
    <w:rsid w:val="00ED226B"/>
    <w:rsid w:val="00ED2D48"/>
    <w:rsid w:val="00ED34A1"/>
    <w:rsid w:val="00ED360C"/>
    <w:rsid w:val="00ED5DA8"/>
    <w:rsid w:val="00ED66C9"/>
    <w:rsid w:val="00ED73B7"/>
    <w:rsid w:val="00EE0299"/>
    <w:rsid w:val="00EE0624"/>
    <w:rsid w:val="00EE110C"/>
    <w:rsid w:val="00EE12ED"/>
    <w:rsid w:val="00EE270F"/>
    <w:rsid w:val="00EE29EB"/>
    <w:rsid w:val="00EE3671"/>
    <w:rsid w:val="00EE439C"/>
    <w:rsid w:val="00EE44C0"/>
    <w:rsid w:val="00EE658A"/>
    <w:rsid w:val="00EE6E16"/>
    <w:rsid w:val="00EE6FED"/>
    <w:rsid w:val="00EF0237"/>
    <w:rsid w:val="00EF073E"/>
    <w:rsid w:val="00EF1844"/>
    <w:rsid w:val="00EF19A1"/>
    <w:rsid w:val="00EF1ECF"/>
    <w:rsid w:val="00EF2B7D"/>
    <w:rsid w:val="00EF3362"/>
    <w:rsid w:val="00EF36A4"/>
    <w:rsid w:val="00EF3DED"/>
    <w:rsid w:val="00EF44F7"/>
    <w:rsid w:val="00EF50BC"/>
    <w:rsid w:val="00EF6019"/>
    <w:rsid w:val="00EF65AF"/>
    <w:rsid w:val="00EF7A33"/>
    <w:rsid w:val="00F00CFC"/>
    <w:rsid w:val="00F021DB"/>
    <w:rsid w:val="00F0365D"/>
    <w:rsid w:val="00F03B23"/>
    <w:rsid w:val="00F06118"/>
    <w:rsid w:val="00F06420"/>
    <w:rsid w:val="00F06505"/>
    <w:rsid w:val="00F06763"/>
    <w:rsid w:val="00F06B91"/>
    <w:rsid w:val="00F06CE2"/>
    <w:rsid w:val="00F0703B"/>
    <w:rsid w:val="00F076CD"/>
    <w:rsid w:val="00F07E26"/>
    <w:rsid w:val="00F10764"/>
    <w:rsid w:val="00F10841"/>
    <w:rsid w:val="00F10E12"/>
    <w:rsid w:val="00F1118C"/>
    <w:rsid w:val="00F144BB"/>
    <w:rsid w:val="00F15A32"/>
    <w:rsid w:val="00F16700"/>
    <w:rsid w:val="00F203DC"/>
    <w:rsid w:val="00F214F4"/>
    <w:rsid w:val="00F225DF"/>
    <w:rsid w:val="00F2408A"/>
    <w:rsid w:val="00F24B5F"/>
    <w:rsid w:val="00F24E1D"/>
    <w:rsid w:val="00F255FA"/>
    <w:rsid w:val="00F258D7"/>
    <w:rsid w:val="00F26019"/>
    <w:rsid w:val="00F26A87"/>
    <w:rsid w:val="00F31315"/>
    <w:rsid w:val="00F32169"/>
    <w:rsid w:val="00F323BE"/>
    <w:rsid w:val="00F3271C"/>
    <w:rsid w:val="00F32DD9"/>
    <w:rsid w:val="00F333DF"/>
    <w:rsid w:val="00F34063"/>
    <w:rsid w:val="00F34095"/>
    <w:rsid w:val="00F347C2"/>
    <w:rsid w:val="00F35323"/>
    <w:rsid w:val="00F353C9"/>
    <w:rsid w:val="00F3547E"/>
    <w:rsid w:val="00F36C31"/>
    <w:rsid w:val="00F36CDD"/>
    <w:rsid w:val="00F36E03"/>
    <w:rsid w:val="00F416D6"/>
    <w:rsid w:val="00F4175C"/>
    <w:rsid w:val="00F41C91"/>
    <w:rsid w:val="00F429C4"/>
    <w:rsid w:val="00F435C0"/>
    <w:rsid w:val="00F44E85"/>
    <w:rsid w:val="00F457A6"/>
    <w:rsid w:val="00F45D76"/>
    <w:rsid w:val="00F46552"/>
    <w:rsid w:val="00F4675B"/>
    <w:rsid w:val="00F46904"/>
    <w:rsid w:val="00F5020F"/>
    <w:rsid w:val="00F50468"/>
    <w:rsid w:val="00F50C13"/>
    <w:rsid w:val="00F50DEB"/>
    <w:rsid w:val="00F518C4"/>
    <w:rsid w:val="00F539A6"/>
    <w:rsid w:val="00F53BCC"/>
    <w:rsid w:val="00F53EC7"/>
    <w:rsid w:val="00F5405A"/>
    <w:rsid w:val="00F54CD3"/>
    <w:rsid w:val="00F55789"/>
    <w:rsid w:val="00F56C99"/>
    <w:rsid w:val="00F5707A"/>
    <w:rsid w:val="00F6176F"/>
    <w:rsid w:val="00F62297"/>
    <w:rsid w:val="00F65C92"/>
    <w:rsid w:val="00F67EEE"/>
    <w:rsid w:val="00F67F1E"/>
    <w:rsid w:val="00F70BBA"/>
    <w:rsid w:val="00F70D6B"/>
    <w:rsid w:val="00F7111E"/>
    <w:rsid w:val="00F7126C"/>
    <w:rsid w:val="00F732AA"/>
    <w:rsid w:val="00F73907"/>
    <w:rsid w:val="00F74DDF"/>
    <w:rsid w:val="00F7674F"/>
    <w:rsid w:val="00F76758"/>
    <w:rsid w:val="00F77BED"/>
    <w:rsid w:val="00F80BF3"/>
    <w:rsid w:val="00F82006"/>
    <w:rsid w:val="00F837F5"/>
    <w:rsid w:val="00F83FCC"/>
    <w:rsid w:val="00F84245"/>
    <w:rsid w:val="00F843ED"/>
    <w:rsid w:val="00F8504B"/>
    <w:rsid w:val="00F868BA"/>
    <w:rsid w:val="00F86905"/>
    <w:rsid w:val="00F87776"/>
    <w:rsid w:val="00F922BD"/>
    <w:rsid w:val="00F93033"/>
    <w:rsid w:val="00F93B06"/>
    <w:rsid w:val="00F94384"/>
    <w:rsid w:val="00F943EE"/>
    <w:rsid w:val="00F94466"/>
    <w:rsid w:val="00F947E4"/>
    <w:rsid w:val="00F94919"/>
    <w:rsid w:val="00F95DD6"/>
    <w:rsid w:val="00F978A0"/>
    <w:rsid w:val="00F978D1"/>
    <w:rsid w:val="00F97997"/>
    <w:rsid w:val="00F97CE3"/>
    <w:rsid w:val="00F97DFA"/>
    <w:rsid w:val="00FA054C"/>
    <w:rsid w:val="00FA0A4D"/>
    <w:rsid w:val="00FA24F6"/>
    <w:rsid w:val="00FA2D7D"/>
    <w:rsid w:val="00FA3E3C"/>
    <w:rsid w:val="00FA4279"/>
    <w:rsid w:val="00FA4330"/>
    <w:rsid w:val="00FA45E3"/>
    <w:rsid w:val="00FA4814"/>
    <w:rsid w:val="00FA513A"/>
    <w:rsid w:val="00FA5479"/>
    <w:rsid w:val="00FA56BB"/>
    <w:rsid w:val="00FA58BE"/>
    <w:rsid w:val="00FA7AC9"/>
    <w:rsid w:val="00FB14F2"/>
    <w:rsid w:val="00FB2346"/>
    <w:rsid w:val="00FB2397"/>
    <w:rsid w:val="00FB2BC0"/>
    <w:rsid w:val="00FB32FD"/>
    <w:rsid w:val="00FB40CF"/>
    <w:rsid w:val="00FB5CAF"/>
    <w:rsid w:val="00FB6BD0"/>
    <w:rsid w:val="00FB6DAF"/>
    <w:rsid w:val="00FB6EC1"/>
    <w:rsid w:val="00FB7AB2"/>
    <w:rsid w:val="00FC0254"/>
    <w:rsid w:val="00FC1068"/>
    <w:rsid w:val="00FC1413"/>
    <w:rsid w:val="00FC1F71"/>
    <w:rsid w:val="00FC2356"/>
    <w:rsid w:val="00FC3707"/>
    <w:rsid w:val="00FC3775"/>
    <w:rsid w:val="00FC3CBC"/>
    <w:rsid w:val="00FC53EC"/>
    <w:rsid w:val="00FC60CE"/>
    <w:rsid w:val="00FC7E16"/>
    <w:rsid w:val="00FD073F"/>
    <w:rsid w:val="00FD1129"/>
    <w:rsid w:val="00FD16DF"/>
    <w:rsid w:val="00FD1792"/>
    <w:rsid w:val="00FD1FD8"/>
    <w:rsid w:val="00FD2035"/>
    <w:rsid w:val="00FD2C08"/>
    <w:rsid w:val="00FD2DAE"/>
    <w:rsid w:val="00FD4A0B"/>
    <w:rsid w:val="00FD6721"/>
    <w:rsid w:val="00FD7E09"/>
    <w:rsid w:val="00FE29E2"/>
    <w:rsid w:val="00FE38B3"/>
    <w:rsid w:val="00FE6ADB"/>
    <w:rsid w:val="00FE6DB7"/>
    <w:rsid w:val="00FE7CF0"/>
    <w:rsid w:val="00FF0756"/>
    <w:rsid w:val="00FF0804"/>
    <w:rsid w:val="00FF0A3D"/>
    <w:rsid w:val="00FF2E0F"/>
    <w:rsid w:val="00FF2FC7"/>
    <w:rsid w:val="00FF3BB0"/>
    <w:rsid w:val="00FF46DD"/>
    <w:rsid w:val="00FF4E30"/>
    <w:rsid w:val="00FF7B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8835B"/>
  <w15:docId w15:val="{07F1FEA6-B4DF-41F3-B2DA-44913924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58F6"/>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920D80"/>
    <w:pPr>
      <w:outlineLvl w:val="0"/>
    </w:pPr>
    <w:rPr>
      <w:rFonts w:ascii="Myriad Pro" w:hAnsi="Myriad Pro"/>
      <w:b/>
      <w:sz w:val="48"/>
      <w:szCs w:val="28"/>
    </w:rPr>
  </w:style>
  <w:style w:type="paragraph" w:styleId="Heading2">
    <w:name w:val="heading 2"/>
    <w:basedOn w:val="Normal"/>
    <w:next w:val="Normal"/>
    <w:link w:val="Heading2Char"/>
    <w:uiPriority w:val="9"/>
    <w:unhideWhenUsed/>
    <w:qFormat/>
    <w:rsid w:val="008C29A2"/>
    <w:pPr>
      <w:keepNext/>
      <w:keepLines/>
      <w:spacing w:before="200"/>
      <w:outlineLvl w:val="1"/>
    </w:pPr>
    <w:rPr>
      <w:rFonts w:ascii="Myriad Pro" w:eastAsiaTheme="majorEastAsia" w:hAnsi="Myriad Pro" w:cstheme="majorBidi"/>
      <w:b/>
      <w:bCs/>
      <w:sz w:val="40"/>
      <w:szCs w:val="40"/>
    </w:rPr>
  </w:style>
  <w:style w:type="paragraph" w:styleId="Heading3">
    <w:name w:val="heading 3"/>
    <w:basedOn w:val="Normal"/>
    <w:next w:val="Normal"/>
    <w:link w:val="Heading3Char"/>
    <w:uiPriority w:val="9"/>
    <w:unhideWhenUsed/>
    <w:qFormat/>
    <w:rsid w:val="00EA70F4"/>
    <w:pPr>
      <w:keepNext/>
      <w:keepLines/>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rsid w:val="005B544B"/>
    <w:pPr>
      <w:keepNext/>
      <w:jc w:val="center"/>
      <w:outlineLvl w:val="3"/>
    </w:pPr>
    <w:rPr>
      <w:rFonts w:ascii="Arial" w:eastAsia="Times New Roman" w:hAnsi="Arial" w:cs="Arial"/>
      <w:b/>
      <w:szCs w:val="20"/>
      <w:lang w:val="en-AU" w:eastAsia="en-US"/>
    </w:rPr>
  </w:style>
  <w:style w:type="paragraph" w:styleId="Heading5">
    <w:name w:val="heading 5"/>
    <w:basedOn w:val="Normal"/>
    <w:next w:val="Normal"/>
    <w:link w:val="Heading5Char"/>
    <w:uiPriority w:val="9"/>
    <w:unhideWhenUsed/>
    <w:rsid w:val="00C114CB"/>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rsid w:val="005B544B"/>
    <w:pPr>
      <w:keepNext/>
      <w:pBdr>
        <w:top w:val="threeDEngrave" w:sz="24" w:space="1" w:color="auto"/>
        <w:left w:val="threeDEngrave" w:sz="24" w:space="4" w:color="auto"/>
        <w:bottom w:val="threeDEmboss" w:sz="24" w:space="1" w:color="auto"/>
        <w:right w:val="threeDEmboss" w:sz="24" w:space="4" w:color="auto"/>
      </w:pBdr>
      <w:jc w:val="center"/>
      <w:outlineLvl w:val="6"/>
    </w:pPr>
    <w:rPr>
      <w:rFonts w:ascii="Arial" w:eastAsia="Times New Roman" w:hAnsi="Arial" w:cs="Arial"/>
      <w:b/>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D80"/>
    <w:rPr>
      <w:rFonts w:ascii="Myriad Pro" w:hAnsi="Myriad Pro" w:cs="Times New Roman"/>
      <w:b/>
      <w:sz w:val="48"/>
      <w:szCs w:val="28"/>
    </w:rPr>
  </w:style>
  <w:style w:type="character" w:customStyle="1" w:styleId="Heading2Char">
    <w:name w:val="Heading 2 Char"/>
    <w:basedOn w:val="DefaultParagraphFont"/>
    <w:link w:val="Heading2"/>
    <w:uiPriority w:val="9"/>
    <w:rsid w:val="008C29A2"/>
    <w:rPr>
      <w:rFonts w:ascii="Myriad Pro" w:eastAsiaTheme="majorEastAsia" w:hAnsi="Myriad Pro" w:cstheme="majorBidi"/>
      <w:b/>
      <w:bCs/>
      <w:sz w:val="40"/>
      <w:szCs w:val="40"/>
    </w:rPr>
  </w:style>
  <w:style w:type="character" w:customStyle="1" w:styleId="Heading3Char">
    <w:name w:val="Heading 3 Char"/>
    <w:basedOn w:val="DefaultParagraphFont"/>
    <w:link w:val="Heading3"/>
    <w:uiPriority w:val="9"/>
    <w:rsid w:val="00EA70F4"/>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rsid w:val="005B544B"/>
    <w:rPr>
      <w:rFonts w:ascii="Arial" w:eastAsia="Times New Roman" w:hAnsi="Arial" w:cs="Arial"/>
      <w:b/>
      <w:sz w:val="24"/>
      <w:szCs w:val="20"/>
      <w:lang w:val="en-AU" w:eastAsia="en-US"/>
    </w:rPr>
  </w:style>
  <w:style w:type="character" w:customStyle="1" w:styleId="Heading5Char">
    <w:name w:val="Heading 5 Char"/>
    <w:basedOn w:val="DefaultParagraphFont"/>
    <w:link w:val="Heading5"/>
    <w:uiPriority w:val="9"/>
    <w:rsid w:val="00C114C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5B544B"/>
    <w:rPr>
      <w:rFonts w:ascii="Arial" w:eastAsia="Times New Roman" w:hAnsi="Arial" w:cs="Arial"/>
      <w:b/>
      <w:sz w:val="24"/>
      <w:szCs w:val="20"/>
      <w:lang w:val="en-AU" w:eastAsia="en-US"/>
    </w:rPr>
  </w:style>
  <w:style w:type="character" w:styleId="Hyperlink">
    <w:name w:val="Hyperlink"/>
    <w:uiPriority w:val="99"/>
    <w:rsid w:val="005B544B"/>
    <w:rPr>
      <w:rFonts w:ascii="Times New Roman" w:hAnsi="Times New Roman" w:cs="Times New Roman"/>
      <w:color w:val="0000FF"/>
      <w:u w:val="single"/>
    </w:rPr>
  </w:style>
  <w:style w:type="paragraph" w:styleId="Footer">
    <w:name w:val="footer"/>
    <w:basedOn w:val="Normal"/>
    <w:link w:val="FooterChar"/>
    <w:uiPriority w:val="99"/>
    <w:rsid w:val="005B544B"/>
    <w:pPr>
      <w:tabs>
        <w:tab w:val="center" w:pos="4153"/>
        <w:tab w:val="right" w:pos="8306"/>
      </w:tabs>
    </w:pPr>
    <w:rPr>
      <w:rFonts w:ascii="Arial" w:eastAsia="Times New Roman" w:hAnsi="Arial" w:cs="Arial"/>
      <w:szCs w:val="20"/>
      <w:lang w:val="en-AU" w:eastAsia="en-US"/>
    </w:rPr>
  </w:style>
  <w:style w:type="character" w:customStyle="1" w:styleId="FooterChar">
    <w:name w:val="Footer Char"/>
    <w:basedOn w:val="DefaultParagraphFont"/>
    <w:link w:val="Footer"/>
    <w:uiPriority w:val="99"/>
    <w:rsid w:val="005B544B"/>
    <w:rPr>
      <w:rFonts w:ascii="Arial" w:eastAsia="Times New Roman" w:hAnsi="Arial" w:cs="Arial"/>
      <w:sz w:val="24"/>
      <w:szCs w:val="20"/>
      <w:lang w:val="en-AU" w:eastAsia="en-US"/>
    </w:rPr>
  </w:style>
  <w:style w:type="paragraph" w:styleId="BodyText2">
    <w:name w:val="Body Text 2"/>
    <w:basedOn w:val="Normal"/>
    <w:link w:val="BodyText2Char"/>
    <w:semiHidden/>
    <w:rsid w:val="005B544B"/>
    <w:pPr>
      <w:pBdr>
        <w:top w:val="threeDEngrave" w:sz="24" w:space="0" w:color="auto"/>
        <w:left w:val="threeDEngrave" w:sz="24" w:space="4" w:color="auto"/>
        <w:bottom w:val="threeDEmboss" w:sz="24" w:space="1" w:color="auto"/>
        <w:right w:val="threeDEmboss" w:sz="24" w:space="4" w:color="auto"/>
      </w:pBdr>
    </w:pPr>
    <w:rPr>
      <w:rFonts w:ascii="Arial" w:eastAsia="Times New Roman" w:hAnsi="Arial" w:cs="Arial"/>
      <w:szCs w:val="20"/>
      <w:lang w:val="en-AU" w:eastAsia="en-US"/>
    </w:rPr>
  </w:style>
  <w:style w:type="character" w:customStyle="1" w:styleId="BodyText2Char">
    <w:name w:val="Body Text 2 Char"/>
    <w:basedOn w:val="DefaultParagraphFont"/>
    <w:link w:val="BodyText2"/>
    <w:semiHidden/>
    <w:rsid w:val="005B544B"/>
    <w:rPr>
      <w:rFonts w:ascii="Arial" w:eastAsia="Times New Roman" w:hAnsi="Arial" w:cs="Arial"/>
      <w:sz w:val="24"/>
      <w:szCs w:val="20"/>
      <w:lang w:val="en-AU" w:eastAsia="en-US"/>
    </w:rPr>
  </w:style>
  <w:style w:type="paragraph" w:styleId="BalloonText">
    <w:name w:val="Balloon Text"/>
    <w:basedOn w:val="Normal"/>
    <w:link w:val="BalloonTextChar"/>
    <w:uiPriority w:val="99"/>
    <w:semiHidden/>
    <w:unhideWhenUsed/>
    <w:rsid w:val="005B544B"/>
    <w:rPr>
      <w:rFonts w:ascii="Tahoma" w:hAnsi="Tahoma" w:cs="Tahoma"/>
      <w:sz w:val="16"/>
      <w:szCs w:val="16"/>
    </w:rPr>
  </w:style>
  <w:style w:type="character" w:customStyle="1" w:styleId="BalloonTextChar">
    <w:name w:val="Balloon Text Char"/>
    <w:basedOn w:val="DefaultParagraphFont"/>
    <w:link w:val="BalloonText"/>
    <w:uiPriority w:val="99"/>
    <w:semiHidden/>
    <w:rsid w:val="005B544B"/>
    <w:rPr>
      <w:rFonts w:ascii="Tahoma" w:hAnsi="Tahoma" w:cs="Tahoma"/>
      <w:sz w:val="16"/>
      <w:szCs w:val="16"/>
    </w:rPr>
  </w:style>
  <w:style w:type="character" w:styleId="Emphasis">
    <w:name w:val="Emphasis"/>
    <w:basedOn w:val="DefaultParagraphFont"/>
    <w:uiPriority w:val="20"/>
    <w:qFormat/>
    <w:rsid w:val="008A46FF"/>
    <w:rPr>
      <w:i/>
      <w:iCs/>
    </w:rPr>
  </w:style>
  <w:style w:type="table" w:styleId="TableGrid">
    <w:name w:val="Table Grid"/>
    <w:basedOn w:val="TableNormal"/>
    <w:uiPriority w:val="59"/>
    <w:rsid w:val="00676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615D"/>
    <w:pPr>
      <w:ind w:left="720"/>
      <w:contextualSpacing/>
    </w:pPr>
  </w:style>
  <w:style w:type="character" w:styleId="FollowedHyperlink">
    <w:name w:val="FollowedHyperlink"/>
    <w:basedOn w:val="DefaultParagraphFont"/>
    <w:uiPriority w:val="99"/>
    <w:semiHidden/>
    <w:unhideWhenUsed/>
    <w:rsid w:val="00C81817"/>
    <w:rPr>
      <w:color w:val="800080" w:themeColor="followedHyperlink"/>
      <w:u w:val="single"/>
    </w:rPr>
  </w:style>
  <w:style w:type="character" w:styleId="Strong">
    <w:name w:val="Strong"/>
    <w:basedOn w:val="DefaultParagraphFont"/>
    <w:uiPriority w:val="22"/>
    <w:qFormat/>
    <w:rsid w:val="0091367F"/>
    <w:rPr>
      <w:b/>
      <w:bCs/>
    </w:rPr>
  </w:style>
  <w:style w:type="paragraph" w:styleId="NormalWeb">
    <w:name w:val="Normal (Web)"/>
    <w:basedOn w:val="Normal"/>
    <w:uiPriority w:val="99"/>
    <w:unhideWhenUsed/>
    <w:rsid w:val="00E76DDC"/>
    <w:pPr>
      <w:spacing w:before="100" w:beforeAutospacing="1" w:after="100" w:afterAutospacing="1"/>
    </w:pPr>
    <w:rPr>
      <w:rFonts w:eastAsia="Times New Roman"/>
    </w:rPr>
  </w:style>
  <w:style w:type="character" w:customStyle="1" w:styleId="ref">
    <w:name w:val="ref"/>
    <w:rsid w:val="00B2011C"/>
    <w:rPr>
      <w:sz w:val="20"/>
      <w:szCs w:val="20"/>
    </w:rPr>
  </w:style>
  <w:style w:type="paragraph" w:customStyle="1" w:styleId="para">
    <w:name w:val="para"/>
    <w:basedOn w:val="Normal"/>
    <w:rsid w:val="001A64E3"/>
    <w:pPr>
      <w:spacing w:before="100" w:beforeAutospacing="1" w:after="100" w:afterAutospacing="1"/>
    </w:pPr>
    <w:rPr>
      <w:rFonts w:eastAsia="Times New Roman"/>
    </w:rPr>
  </w:style>
  <w:style w:type="paragraph" w:customStyle="1" w:styleId="storybyline">
    <w:name w:val="story__byline"/>
    <w:basedOn w:val="Normal"/>
    <w:rsid w:val="00D6642E"/>
    <w:pPr>
      <w:spacing w:before="100" w:beforeAutospacing="1" w:after="100" w:afterAutospacing="1"/>
    </w:pPr>
    <w:rPr>
      <w:rFonts w:eastAsia="Times New Roman"/>
    </w:rPr>
  </w:style>
  <w:style w:type="character" w:customStyle="1" w:styleId="postedby">
    <w:name w:val="postedby"/>
    <w:basedOn w:val="DefaultParagraphFont"/>
    <w:rsid w:val="00AE6264"/>
  </w:style>
  <w:style w:type="paragraph" w:styleId="BodyText">
    <w:name w:val="Body Text"/>
    <w:basedOn w:val="Normal"/>
    <w:link w:val="BodyTextChar"/>
    <w:uiPriority w:val="99"/>
    <w:unhideWhenUsed/>
    <w:qFormat/>
    <w:rsid w:val="00920D80"/>
    <w:pPr>
      <w:spacing w:before="100" w:beforeAutospacing="1" w:after="100" w:afterAutospacing="1"/>
    </w:pPr>
    <w:rPr>
      <w:rFonts w:ascii="Myriad Pro" w:eastAsia="Times New Roman" w:hAnsi="Myriad Pro"/>
      <w:sz w:val="36"/>
      <w:szCs w:val="36"/>
    </w:rPr>
  </w:style>
  <w:style w:type="character" w:customStyle="1" w:styleId="BodyTextChar">
    <w:name w:val="Body Text Char"/>
    <w:basedOn w:val="DefaultParagraphFont"/>
    <w:link w:val="BodyText"/>
    <w:uiPriority w:val="99"/>
    <w:rsid w:val="00920D80"/>
    <w:rPr>
      <w:rFonts w:ascii="Myriad Pro" w:eastAsia="Times New Roman" w:hAnsi="Myriad Pro" w:cs="Times New Roman"/>
      <w:sz w:val="36"/>
      <w:szCs w:val="36"/>
    </w:rPr>
  </w:style>
  <w:style w:type="paragraph" w:customStyle="1" w:styleId="BodyBullets2">
    <w:name w:val="Body Bullets 2"/>
    <w:basedOn w:val="Normal"/>
    <w:rsid w:val="005B7796"/>
    <w:pPr>
      <w:numPr>
        <w:numId w:val="1"/>
      </w:numPr>
    </w:pPr>
    <w:rPr>
      <w:rFonts w:eastAsia="SimSun"/>
      <w:lang w:val="en-US" w:eastAsia="zh-CN"/>
    </w:rPr>
  </w:style>
  <w:style w:type="character" w:styleId="EndnoteReference">
    <w:name w:val="endnote reference"/>
    <w:basedOn w:val="DefaultParagraphFont"/>
    <w:uiPriority w:val="99"/>
    <w:rsid w:val="008E4D76"/>
    <w:rPr>
      <w:vertAlign w:val="superscript"/>
    </w:rPr>
  </w:style>
  <w:style w:type="character" w:styleId="CommentReference">
    <w:name w:val="annotation reference"/>
    <w:basedOn w:val="DefaultParagraphFont"/>
    <w:uiPriority w:val="99"/>
    <w:semiHidden/>
    <w:unhideWhenUsed/>
    <w:rsid w:val="0003523A"/>
    <w:rPr>
      <w:sz w:val="16"/>
      <w:szCs w:val="16"/>
    </w:rPr>
  </w:style>
  <w:style w:type="character" w:customStyle="1" w:styleId="article-headerpages">
    <w:name w:val="article-header__pages"/>
    <w:basedOn w:val="DefaultParagraphFont"/>
    <w:rsid w:val="00DD18D8"/>
  </w:style>
  <w:style w:type="paragraph" w:styleId="CommentSubject">
    <w:name w:val="annotation subject"/>
    <w:basedOn w:val="Normal"/>
    <w:next w:val="Normal"/>
    <w:link w:val="CommentSubjectChar"/>
    <w:uiPriority w:val="99"/>
    <w:semiHidden/>
    <w:unhideWhenUsed/>
    <w:rsid w:val="00816AA2"/>
    <w:rPr>
      <w:b/>
      <w:bCs/>
    </w:rPr>
  </w:style>
  <w:style w:type="character" w:customStyle="1" w:styleId="CommentSubjectChar">
    <w:name w:val="Comment Subject Char"/>
    <w:basedOn w:val="DefaultParagraphFont"/>
    <w:link w:val="CommentSubject"/>
    <w:uiPriority w:val="99"/>
    <w:semiHidden/>
    <w:rsid w:val="00816AA2"/>
    <w:rPr>
      <w:b/>
      <w:bCs/>
      <w:sz w:val="20"/>
      <w:szCs w:val="20"/>
    </w:rPr>
  </w:style>
  <w:style w:type="paragraph" w:styleId="Quote">
    <w:name w:val="Quote"/>
    <w:basedOn w:val="Normal"/>
    <w:next w:val="Normal"/>
    <w:link w:val="QuoteChar"/>
    <w:uiPriority w:val="29"/>
    <w:qFormat/>
    <w:rsid w:val="006B6630"/>
    <w:rPr>
      <w:i/>
      <w:iCs/>
      <w:color w:val="000000" w:themeColor="text1"/>
    </w:rPr>
  </w:style>
  <w:style w:type="character" w:customStyle="1" w:styleId="QuoteChar">
    <w:name w:val="Quote Char"/>
    <w:basedOn w:val="DefaultParagraphFont"/>
    <w:link w:val="Quote"/>
    <w:uiPriority w:val="29"/>
    <w:rsid w:val="006B6630"/>
    <w:rPr>
      <w:i/>
      <w:iCs/>
      <w:color w:val="000000" w:themeColor="text1"/>
    </w:rPr>
  </w:style>
  <w:style w:type="character" w:customStyle="1" w:styleId="sehilite">
    <w:name w:val="se_hilite"/>
    <w:basedOn w:val="DefaultParagraphFont"/>
    <w:rsid w:val="00BF7DD0"/>
  </w:style>
  <w:style w:type="character" w:customStyle="1" w:styleId="section-national-color">
    <w:name w:val="section-national-color"/>
    <w:basedOn w:val="DefaultParagraphFont"/>
    <w:rsid w:val="00AC3108"/>
  </w:style>
  <w:style w:type="character" w:customStyle="1" w:styleId="textexposedshow">
    <w:name w:val="text_exposed_show"/>
    <w:basedOn w:val="DefaultParagraphFont"/>
    <w:rsid w:val="00C25D23"/>
  </w:style>
  <w:style w:type="paragraph" w:customStyle="1" w:styleId="Subtitle1">
    <w:name w:val="Subtitle1"/>
    <w:basedOn w:val="Normal"/>
    <w:rsid w:val="00EA022F"/>
    <w:pPr>
      <w:spacing w:before="100" w:beforeAutospacing="1" w:after="100" w:afterAutospacing="1"/>
    </w:pPr>
    <w:rPr>
      <w:rFonts w:eastAsia="Times New Roman"/>
    </w:rPr>
  </w:style>
  <w:style w:type="character" w:customStyle="1" w:styleId="byline">
    <w:name w:val="byline"/>
    <w:basedOn w:val="DefaultParagraphFont"/>
    <w:rsid w:val="00295DC5"/>
  </w:style>
  <w:style w:type="paragraph" w:styleId="EndnoteText">
    <w:name w:val="endnote text"/>
    <w:basedOn w:val="Normal"/>
    <w:link w:val="EndnoteTextChar"/>
    <w:uiPriority w:val="99"/>
    <w:unhideWhenUsed/>
    <w:rsid w:val="001B4F29"/>
    <w:rPr>
      <w:rFonts w:eastAsiaTheme="minorEastAsia"/>
      <w:lang w:val="en-US" w:eastAsia="en-US"/>
    </w:rPr>
  </w:style>
  <w:style w:type="character" w:customStyle="1" w:styleId="EndnoteTextChar">
    <w:name w:val="Endnote Text Char"/>
    <w:basedOn w:val="DefaultParagraphFont"/>
    <w:link w:val="EndnoteText"/>
    <w:uiPriority w:val="99"/>
    <w:rsid w:val="001B4F29"/>
    <w:rPr>
      <w:rFonts w:eastAsiaTheme="minorEastAsia"/>
      <w:sz w:val="24"/>
      <w:szCs w:val="24"/>
      <w:lang w:val="en-US" w:eastAsia="en-US"/>
    </w:rPr>
  </w:style>
  <w:style w:type="paragraph" w:styleId="PlainText">
    <w:name w:val="Plain Text"/>
    <w:basedOn w:val="Normal"/>
    <w:link w:val="PlainTextChar"/>
    <w:uiPriority w:val="99"/>
    <w:unhideWhenUsed/>
    <w:rsid w:val="001B4F29"/>
    <w:pPr>
      <w:spacing w:before="100" w:beforeAutospacing="1" w:after="100" w:afterAutospacing="1"/>
    </w:pPr>
    <w:rPr>
      <w:rFonts w:eastAsiaTheme="minorEastAsia"/>
      <w:sz w:val="20"/>
      <w:szCs w:val="20"/>
      <w:lang w:eastAsia="en-US"/>
    </w:rPr>
  </w:style>
  <w:style w:type="character" w:customStyle="1" w:styleId="PlainTextChar">
    <w:name w:val="Plain Text Char"/>
    <w:basedOn w:val="DefaultParagraphFont"/>
    <w:link w:val="PlainText"/>
    <w:uiPriority w:val="99"/>
    <w:rsid w:val="001B4F29"/>
    <w:rPr>
      <w:rFonts w:ascii="Times New Roman" w:eastAsiaTheme="minorEastAsia" w:hAnsi="Times New Roman" w:cs="Times New Roman"/>
      <w:sz w:val="20"/>
      <w:szCs w:val="20"/>
      <w:lang w:eastAsia="en-US"/>
    </w:rPr>
  </w:style>
  <w:style w:type="paragraph" w:styleId="BlockText">
    <w:name w:val="Block Text"/>
    <w:basedOn w:val="Normal"/>
    <w:uiPriority w:val="99"/>
    <w:unhideWhenUsed/>
    <w:rsid w:val="006F0D4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List">
    <w:name w:val="List"/>
    <w:basedOn w:val="Normal"/>
    <w:uiPriority w:val="99"/>
    <w:unhideWhenUsed/>
    <w:rsid w:val="00E60D05"/>
    <w:pPr>
      <w:ind w:left="283" w:hanging="283"/>
      <w:contextualSpacing/>
    </w:pPr>
  </w:style>
  <w:style w:type="character" w:customStyle="1" w:styleId="u-sronly">
    <w:name w:val="u-sronly"/>
    <w:basedOn w:val="DefaultParagraphFont"/>
    <w:rsid w:val="00E0602D"/>
  </w:style>
  <w:style w:type="paragraph" w:styleId="FootnoteText">
    <w:name w:val="footnote text"/>
    <w:basedOn w:val="Normal"/>
    <w:link w:val="FootnoteTextChar"/>
    <w:uiPriority w:val="99"/>
    <w:unhideWhenUsed/>
    <w:rsid w:val="00DD18D8"/>
    <w:pPr>
      <w:spacing w:before="60"/>
      <w:ind w:left="284" w:hanging="284"/>
    </w:pPr>
    <w:rPr>
      <w:rFonts w:asciiTheme="minorHAnsi" w:hAnsiTheme="minorHAnsi" w:cstheme="minorBidi"/>
      <w:sz w:val="18"/>
      <w:szCs w:val="20"/>
    </w:rPr>
  </w:style>
  <w:style w:type="character" w:customStyle="1" w:styleId="FootnoteTextChar">
    <w:name w:val="Footnote Text Char"/>
    <w:basedOn w:val="DefaultParagraphFont"/>
    <w:link w:val="FootnoteText"/>
    <w:uiPriority w:val="99"/>
    <w:rsid w:val="00DD18D8"/>
    <w:rPr>
      <w:sz w:val="18"/>
      <w:szCs w:val="20"/>
    </w:rPr>
  </w:style>
  <w:style w:type="character" w:styleId="FootnoteReference">
    <w:name w:val="footnote reference"/>
    <w:basedOn w:val="DefaultParagraphFont"/>
    <w:uiPriority w:val="99"/>
    <w:unhideWhenUsed/>
    <w:rsid w:val="00044EA2"/>
    <w:rPr>
      <w:vertAlign w:val="superscript"/>
    </w:rPr>
  </w:style>
  <w:style w:type="paragraph" w:styleId="Title">
    <w:name w:val="Title"/>
    <w:basedOn w:val="Normal"/>
    <w:next w:val="Normal"/>
    <w:link w:val="TitleChar"/>
    <w:uiPriority w:val="99"/>
    <w:qFormat/>
    <w:rsid w:val="00980F92"/>
    <w:pPr>
      <w:autoSpaceDE w:val="0"/>
      <w:autoSpaceDN w:val="0"/>
      <w:adjustRightInd w:val="0"/>
    </w:pPr>
    <w:rPr>
      <w:rFonts w:ascii="BOAKOB+X4A4F7110" w:hAnsi="BOAKOB+X4A4F7110" w:cstheme="minorBidi"/>
    </w:rPr>
  </w:style>
  <w:style w:type="character" w:customStyle="1" w:styleId="TitleChar">
    <w:name w:val="Title Char"/>
    <w:basedOn w:val="DefaultParagraphFont"/>
    <w:link w:val="Title"/>
    <w:uiPriority w:val="99"/>
    <w:rsid w:val="003515A7"/>
    <w:rPr>
      <w:rFonts w:ascii="BOAKOB+X4A4F7110" w:hAnsi="BOAKOB+X4A4F7110"/>
      <w:sz w:val="24"/>
      <w:szCs w:val="24"/>
    </w:rPr>
  </w:style>
  <w:style w:type="paragraph" w:styleId="Caption">
    <w:name w:val="caption"/>
    <w:next w:val="Normal"/>
    <w:uiPriority w:val="35"/>
    <w:unhideWhenUsed/>
    <w:qFormat/>
    <w:rsid w:val="00CD1F58"/>
    <w:pPr>
      <w:spacing w:line="240" w:lineRule="auto"/>
    </w:pPr>
    <w:rPr>
      <w:bCs/>
      <w:i/>
      <w:sz w:val="20"/>
      <w:szCs w:val="18"/>
    </w:rPr>
  </w:style>
  <w:style w:type="paragraph" w:customStyle="1" w:styleId="Imprint">
    <w:name w:val="Imprint"/>
    <w:basedOn w:val="Normal"/>
    <w:next w:val="Normal"/>
    <w:rsid w:val="00231B35"/>
    <w:rPr>
      <w:rFonts w:ascii="Calibri" w:eastAsia="Times New Roman" w:hAnsi="Calibri"/>
      <w:szCs w:val="20"/>
      <w:lang w:eastAsia="en-GB"/>
    </w:rPr>
  </w:style>
  <w:style w:type="character" w:customStyle="1" w:styleId="pb-byline">
    <w:name w:val="pb-byline"/>
    <w:basedOn w:val="DefaultParagraphFont"/>
    <w:rsid w:val="003C2B18"/>
  </w:style>
  <w:style w:type="paragraph" w:customStyle="1" w:styleId="BodyBullets">
    <w:name w:val="Body Bullets"/>
    <w:basedOn w:val="Normal"/>
    <w:rsid w:val="00E2790D"/>
    <w:pPr>
      <w:numPr>
        <w:numId w:val="2"/>
      </w:numPr>
    </w:pPr>
  </w:style>
  <w:style w:type="character" w:customStyle="1" w:styleId="underlined">
    <w:name w:val="underlined"/>
    <w:basedOn w:val="DefaultParagraphFont"/>
    <w:rsid w:val="006F274A"/>
  </w:style>
  <w:style w:type="paragraph" w:customStyle="1" w:styleId="published">
    <w:name w:val="published"/>
    <w:basedOn w:val="Normal"/>
    <w:rsid w:val="00936842"/>
    <w:pPr>
      <w:spacing w:before="100" w:beforeAutospacing="1" w:after="100" w:afterAutospacing="1"/>
    </w:pPr>
    <w:rPr>
      <w:rFonts w:eastAsia="Times New Roman"/>
    </w:rPr>
  </w:style>
  <w:style w:type="character" w:customStyle="1" w:styleId="st">
    <w:name w:val="st"/>
    <w:basedOn w:val="DefaultParagraphFont"/>
    <w:rsid w:val="001B0E46"/>
  </w:style>
  <w:style w:type="character" w:styleId="PlaceholderText">
    <w:name w:val="Placeholder Text"/>
    <w:basedOn w:val="DefaultParagraphFont"/>
    <w:uiPriority w:val="99"/>
    <w:semiHidden/>
    <w:rsid w:val="00AF5DF7"/>
    <w:rPr>
      <w:color w:val="808080"/>
    </w:rPr>
  </w:style>
  <w:style w:type="paragraph" w:customStyle="1" w:styleId="Bullet">
    <w:name w:val="Bullet"/>
    <w:basedOn w:val="Normal"/>
    <w:link w:val="BulletChar"/>
    <w:qFormat/>
    <w:rsid w:val="007E074E"/>
    <w:pPr>
      <w:numPr>
        <w:numId w:val="3"/>
      </w:numPr>
      <w:tabs>
        <w:tab w:val="clear" w:pos="1276"/>
      </w:tabs>
      <w:spacing w:before="120"/>
      <w:ind w:hanging="425"/>
    </w:pPr>
    <w:rPr>
      <w:rFonts w:ascii="Arial" w:eastAsia="Times New Roman" w:hAnsi="Arial"/>
      <w:szCs w:val="20"/>
      <w:lang w:eastAsia="en-US"/>
    </w:rPr>
  </w:style>
  <w:style w:type="character" w:customStyle="1" w:styleId="BulletChar">
    <w:name w:val="Bullet Char"/>
    <w:link w:val="Bullet"/>
    <w:locked/>
    <w:rsid w:val="007E074E"/>
    <w:rPr>
      <w:rFonts w:ascii="Arial" w:eastAsia="Times New Roman" w:hAnsi="Arial" w:cs="Times New Roman"/>
      <w:sz w:val="24"/>
      <w:szCs w:val="20"/>
      <w:lang w:eastAsia="en-US"/>
    </w:rPr>
  </w:style>
  <w:style w:type="paragraph" w:customStyle="1" w:styleId="TableText">
    <w:name w:val="TableText"/>
    <w:basedOn w:val="Normal"/>
    <w:link w:val="TableTextChar"/>
    <w:rsid w:val="007E074E"/>
    <w:pPr>
      <w:spacing w:before="100" w:after="100"/>
    </w:pPr>
    <w:rPr>
      <w:rFonts w:ascii="Arial" w:eastAsia="Times New Roman" w:hAnsi="Arial"/>
      <w:sz w:val="18"/>
      <w:szCs w:val="20"/>
      <w:lang w:eastAsia="en-US"/>
    </w:rPr>
  </w:style>
  <w:style w:type="character" w:customStyle="1" w:styleId="TableTextChar">
    <w:name w:val="TableText Char"/>
    <w:link w:val="TableText"/>
    <w:rsid w:val="007E074E"/>
    <w:rPr>
      <w:rFonts w:ascii="Arial" w:eastAsia="Times New Roman" w:hAnsi="Arial" w:cs="Times New Roman"/>
      <w:sz w:val="18"/>
      <w:szCs w:val="20"/>
      <w:lang w:eastAsia="en-US"/>
    </w:rPr>
  </w:style>
  <w:style w:type="character" w:customStyle="1" w:styleId="sics-componentstorybody">
    <w:name w:val="sics-component__story__body"/>
    <w:basedOn w:val="DefaultParagraphFont"/>
    <w:rsid w:val="00C77D59"/>
  </w:style>
  <w:style w:type="paragraph" w:customStyle="1" w:styleId="Title1">
    <w:name w:val="Title1"/>
    <w:basedOn w:val="Normal"/>
    <w:rsid w:val="00AD7F13"/>
    <w:pPr>
      <w:spacing w:before="100" w:beforeAutospacing="1" w:after="100" w:afterAutospacing="1"/>
    </w:pPr>
    <w:rPr>
      <w:rFonts w:eastAsia="Times New Roman"/>
    </w:rPr>
  </w:style>
  <w:style w:type="character" w:customStyle="1" w:styleId="timestampcontent">
    <w:name w:val="timestampcontent"/>
    <w:basedOn w:val="DefaultParagraphFont"/>
    <w:rsid w:val="00C114CB"/>
  </w:style>
  <w:style w:type="paragraph" w:customStyle="1" w:styleId="Title2">
    <w:name w:val="Title2"/>
    <w:basedOn w:val="Normal"/>
    <w:rsid w:val="001A7444"/>
    <w:pPr>
      <w:spacing w:before="100" w:beforeAutospacing="1" w:after="100" w:afterAutospacing="1"/>
    </w:pPr>
    <w:rPr>
      <w:rFonts w:eastAsia="Times New Roman"/>
    </w:rPr>
  </w:style>
  <w:style w:type="paragraph" w:customStyle="1" w:styleId="sics-componenthtml-injector">
    <w:name w:val="sics-component__html-injector"/>
    <w:basedOn w:val="Normal"/>
    <w:rsid w:val="00BA46FA"/>
    <w:pPr>
      <w:spacing w:before="100" w:beforeAutospacing="1" w:after="100" w:afterAutospacing="1"/>
    </w:pPr>
    <w:rPr>
      <w:rFonts w:eastAsia="Times New Roman"/>
    </w:rPr>
  </w:style>
  <w:style w:type="character" w:customStyle="1" w:styleId="UnresolvedMention1">
    <w:name w:val="Unresolved Mention1"/>
    <w:basedOn w:val="DefaultParagraphFont"/>
    <w:uiPriority w:val="99"/>
    <w:semiHidden/>
    <w:unhideWhenUsed/>
    <w:rsid w:val="004A279A"/>
    <w:rPr>
      <w:color w:val="605E5C"/>
      <w:shd w:val="clear" w:color="auto" w:fill="E1DFDD"/>
    </w:rPr>
  </w:style>
  <w:style w:type="character" w:customStyle="1" w:styleId="UnresolvedMention2">
    <w:name w:val="Unresolved Mention2"/>
    <w:basedOn w:val="DefaultParagraphFont"/>
    <w:uiPriority w:val="99"/>
    <w:semiHidden/>
    <w:unhideWhenUsed/>
    <w:rsid w:val="00540DD5"/>
    <w:rPr>
      <w:color w:val="605E5C"/>
      <w:shd w:val="clear" w:color="auto" w:fill="E1DFDD"/>
    </w:rPr>
  </w:style>
  <w:style w:type="paragraph" w:customStyle="1" w:styleId="Pa6">
    <w:name w:val="Pa6"/>
    <w:basedOn w:val="Normal"/>
    <w:next w:val="Normal"/>
    <w:uiPriority w:val="99"/>
    <w:rsid w:val="00980F92"/>
    <w:pPr>
      <w:autoSpaceDE w:val="0"/>
      <w:autoSpaceDN w:val="0"/>
      <w:adjustRightInd w:val="0"/>
      <w:spacing w:line="241" w:lineRule="atLeast"/>
    </w:pPr>
    <w:rPr>
      <w:rFonts w:ascii="Aaux ProBold" w:hAnsi="Aaux ProBold" w:cstheme="minorBidi"/>
    </w:rPr>
  </w:style>
  <w:style w:type="character" w:customStyle="1" w:styleId="UnresolvedMention3">
    <w:name w:val="Unresolved Mention3"/>
    <w:basedOn w:val="DefaultParagraphFont"/>
    <w:uiPriority w:val="99"/>
    <w:semiHidden/>
    <w:unhideWhenUsed/>
    <w:rsid w:val="00A3252D"/>
    <w:rPr>
      <w:color w:val="605E5C"/>
      <w:shd w:val="clear" w:color="auto" w:fill="E1DFDD"/>
    </w:rPr>
  </w:style>
  <w:style w:type="character" w:styleId="UnresolvedMention">
    <w:name w:val="Unresolved Mention"/>
    <w:basedOn w:val="DefaultParagraphFont"/>
    <w:uiPriority w:val="99"/>
    <w:semiHidden/>
    <w:unhideWhenUsed/>
    <w:rsid w:val="002E29B7"/>
    <w:rPr>
      <w:color w:val="605E5C"/>
      <w:shd w:val="clear" w:color="auto" w:fill="E1DFDD"/>
    </w:rPr>
  </w:style>
  <w:style w:type="paragraph" w:customStyle="1" w:styleId="Photo">
    <w:name w:val="Photo"/>
    <w:rsid w:val="008B7C85"/>
    <w:pPr>
      <w:spacing w:before="240" w:after="120" w:line="240" w:lineRule="auto"/>
    </w:pPr>
    <w:rPr>
      <w:rFonts w:ascii="Comic Sans MS" w:eastAsia="SimSun" w:hAnsi="Comic Sans MS" w:cs="Times New Roman"/>
      <w:i/>
      <w:color w:val="FF0000"/>
      <w:sz w:val="24"/>
      <w:szCs w:val="24"/>
      <w:lang w:val="en-US" w:eastAsia="zh-CN"/>
    </w:rPr>
  </w:style>
  <w:style w:type="paragraph" w:customStyle="1" w:styleId="qhgitxht0g">
    <w:name w:val="qhgitxht0g"/>
    <w:basedOn w:val="Normal"/>
    <w:rsid w:val="00663C20"/>
    <w:pPr>
      <w:spacing w:before="100" w:beforeAutospacing="1" w:after="100" w:afterAutospacing="1"/>
    </w:pPr>
    <w:rPr>
      <w:rFonts w:eastAsia="Times New Roman"/>
    </w:rPr>
  </w:style>
  <w:style w:type="character" w:customStyle="1" w:styleId="qhgitxht0g1">
    <w:name w:val="qhgitxht0g1"/>
    <w:basedOn w:val="DefaultParagraphFont"/>
    <w:rsid w:val="00663C20"/>
  </w:style>
  <w:style w:type="paragraph" w:customStyle="1" w:styleId="Pa14">
    <w:name w:val="Pa14"/>
    <w:basedOn w:val="Normal"/>
    <w:next w:val="Normal"/>
    <w:uiPriority w:val="99"/>
    <w:rsid w:val="00980F92"/>
    <w:pPr>
      <w:autoSpaceDE w:val="0"/>
      <w:autoSpaceDN w:val="0"/>
      <w:adjustRightInd w:val="0"/>
      <w:spacing w:line="201" w:lineRule="atLeast"/>
    </w:pPr>
    <w:rPr>
      <w:rFonts w:ascii="Source Sans Pro" w:hAnsi="Source Sans Pro" w:cstheme="minorBidi"/>
    </w:rPr>
  </w:style>
  <w:style w:type="paragraph" w:customStyle="1" w:styleId="Pa16">
    <w:name w:val="Pa16"/>
    <w:basedOn w:val="Normal"/>
    <w:next w:val="Normal"/>
    <w:uiPriority w:val="99"/>
    <w:rsid w:val="00980F92"/>
    <w:pPr>
      <w:autoSpaceDE w:val="0"/>
      <w:autoSpaceDN w:val="0"/>
      <w:adjustRightInd w:val="0"/>
      <w:spacing w:line="201" w:lineRule="atLeast"/>
    </w:pPr>
    <w:rPr>
      <w:rFonts w:ascii="Source Sans Pro" w:hAnsi="Source Sans Pro" w:cstheme="minorBidi"/>
    </w:rPr>
  </w:style>
  <w:style w:type="paragraph" w:customStyle="1" w:styleId="Pa2">
    <w:name w:val="Pa2"/>
    <w:basedOn w:val="Normal"/>
    <w:next w:val="Normal"/>
    <w:uiPriority w:val="99"/>
    <w:rsid w:val="00980F92"/>
    <w:pPr>
      <w:autoSpaceDE w:val="0"/>
      <w:autoSpaceDN w:val="0"/>
      <w:adjustRightInd w:val="0"/>
      <w:spacing w:line="211" w:lineRule="atLeast"/>
    </w:pPr>
    <w:rPr>
      <w:rFonts w:ascii="Source Sans Pro" w:hAnsi="Source Sans Pro" w:cstheme="minorBidi"/>
    </w:rPr>
  </w:style>
  <w:style w:type="paragraph" w:customStyle="1" w:styleId="Reference">
    <w:name w:val="Reference"/>
    <w:uiPriority w:val="99"/>
    <w:qFormat/>
    <w:rsid w:val="00AF7EA4"/>
    <w:pPr>
      <w:spacing w:after="120" w:line="240" w:lineRule="auto"/>
      <w:ind w:left="426" w:hanging="426"/>
    </w:pPr>
    <w:rPr>
      <w:rFonts w:eastAsia="Times New Roman" w:cs="Times New Roman"/>
      <w:sz w:val="18"/>
      <w:szCs w:val="24"/>
    </w:rPr>
  </w:style>
  <w:style w:type="paragraph" w:styleId="Bibliography">
    <w:name w:val="Bibliography"/>
    <w:basedOn w:val="Normal"/>
    <w:next w:val="Normal"/>
    <w:uiPriority w:val="37"/>
    <w:semiHidden/>
    <w:unhideWhenUsed/>
    <w:rsid w:val="00BC3FAE"/>
  </w:style>
  <w:style w:type="paragraph" w:customStyle="1" w:styleId="TableText0">
    <w:name w:val="Table Text"/>
    <w:basedOn w:val="Normal"/>
    <w:autoRedefine/>
    <w:rsid w:val="00BC3FAE"/>
    <w:pPr>
      <w:spacing w:after="100" w:line="259" w:lineRule="auto"/>
    </w:pPr>
    <w:rPr>
      <w:rFonts w:ascii="Tahoma" w:eastAsiaTheme="majorEastAsia" w:hAnsi="Tahoma" w:cs="Arial"/>
      <w:sz w:val="20"/>
      <w:szCs w:val="20"/>
      <w:lang w:eastAsia="en-US"/>
    </w:rPr>
  </w:style>
  <w:style w:type="character" w:styleId="HTMLCite">
    <w:name w:val="HTML Cite"/>
    <w:basedOn w:val="DefaultParagraphFont"/>
    <w:uiPriority w:val="99"/>
    <w:semiHidden/>
    <w:unhideWhenUsed/>
    <w:rsid w:val="0026442E"/>
    <w:rPr>
      <w:i/>
      <w:iCs/>
    </w:rPr>
  </w:style>
  <w:style w:type="character" w:customStyle="1" w:styleId="u-visually-hidden">
    <w:name w:val="u-visually-hidden"/>
    <w:basedOn w:val="DefaultParagraphFont"/>
    <w:rsid w:val="00D36292"/>
  </w:style>
  <w:style w:type="paragraph" w:customStyle="1" w:styleId="Byline0">
    <w:name w:val="Byline"/>
    <w:qFormat/>
    <w:rsid w:val="0085233F"/>
    <w:pPr>
      <w:spacing w:before="120" w:after="240"/>
    </w:pPr>
    <w:rPr>
      <w:rFonts w:eastAsiaTheme="majorEastAsia" w:cstheme="majorBidi"/>
    </w:rPr>
  </w:style>
  <w:style w:type="paragraph" w:customStyle="1" w:styleId="text">
    <w:name w:val="text"/>
    <w:basedOn w:val="Normal"/>
    <w:rsid w:val="00751ECB"/>
    <w:pPr>
      <w:spacing w:before="100" w:beforeAutospacing="1" w:after="100" w:afterAutospacing="1"/>
    </w:pPr>
    <w:rPr>
      <w:rFonts w:eastAsia="Times New Roman"/>
    </w:rPr>
  </w:style>
  <w:style w:type="paragraph" w:customStyle="1" w:styleId="xmsonormal">
    <w:name w:val="x_msonormal"/>
    <w:basedOn w:val="Normal"/>
    <w:rsid w:val="00B7507B"/>
  </w:style>
  <w:style w:type="paragraph" w:styleId="Header">
    <w:name w:val="header"/>
    <w:basedOn w:val="Normal"/>
    <w:link w:val="HeaderChar"/>
    <w:uiPriority w:val="99"/>
    <w:unhideWhenUsed/>
    <w:rsid w:val="00923555"/>
    <w:pPr>
      <w:tabs>
        <w:tab w:val="center" w:pos="4513"/>
        <w:tab w:val="right" w:pos="9026"/>
      </w:tabs>
    </w:pPr>
  </w:style>
  <w:style w:type="character" w:customStyle="1" w:styleId="HeaderChar">
    <w:name w:val="Header Char"/>
    <w:basedOn w:val="DefaultParagraphFont"/>
    <w:link w:val="Header"/>
    <w:uiPriority w:val="99"/>
    <w:rsid w:val="00923555"/>
    <w:rPr>
      <w:rFonts w:ascii="Times New Roman" w:hAnsi="Times New Roman" w:cs="Times New Roman"/>
      <w:sz w:val="24"/>
      <w:szCs w:val="24"/>
    </w:rPr>
  </w:style>
  <w:style w:type="character" w:customStyle="1" w:styleId="s1">
    <w:name w:val="s1"/>
    <w:basedOn w:val="DefaultParagraphFont"/>
    <w:rsid w:val="00436349"/>
  </w:style>
  <w:style w:type="character" w:customStyle="1" w:styleId="updated">
    <w:name w:val="updated"/>
    <w:basedOn w:val="DefaultParagraphFont"/>
    <w:rsid w:val="001F08D2"/>
  </w:style>
  <w:style w:type="character" w:customStyle="1" w:styleId="share-text">
    <w:name w:val="share-text"/>
    <w:basedOn w:val="DefaultParagraphFont"/>
    <w:rsid w:val="001F08D2"/>
  </w:style>
  <w:style w:type="paragraph" w:customStyle="1" w:styleId="Pa18">
    <w:name w:val="Pa18"/>
    <w:basedOn w:val="Normal"/>
    <w:next w:val="Normal"/>
    <w:uiPriority w:val="99"/>
    <w:rsid w:val="00980F92"/>
    <w:pPr>
      <w:autoSpaceDE w:val="0"/>
      <w:autoSpaceDN w:val="0"/>
      <w:adjustRightInd w:val="0"/>
      <w:spacing w:line="191" w:lineRule="atLeast"/>
    </w:pPr>
    <w:rPr>
      <w:rFonts w:ascii="Calibri" w:hAnsi="Calibri" w:cs="Calibri"/>
    </w:rPr>
  </w:style>
  <w:style w:type="paragraph" w:styleId="ListBullet">
    <w:name w:val="List Bullet"/>
    <w:basedOn w:val="Normal"/>
    <w:autoRedefine/>
    <w:rsid w:val="001D68EA"/>
    <w:pPr>
      <w:numPr>
        <w:numId w:val="4"/>
      </w:numPr>
      <w:tabs>
        <w:tab w:val="clear" w:pos="927"/>
        <w:tab w:val="left" w:pos="851"/>
      </w:tabs>
      <w:spacing w:after="60"/>
      <w:ind w:left="851" w:right="567" w:hanging="284"/>
    </w:pPr>
    <w:rPr>
      <w:rFonts w:ascii="ZapfEllipt BT" w:eastAsia="Times New Roman" w:hAnsi="ZapfEllipt BT"/>
      <w:sz w:val="20"/>
      <w:szCs w:val="20"/>
      <w:lang w:val="en-AU"/>
    </w:rPr>
  </w:style>
  <w:style w:type="character" w:customStyle="1" w:styleId="publish-date">
    <w:name w:val="publish-date"/>
    <w:basedOn w:val="DefaultParagraphFont"/>
    <w:rsid w:val="00707403"/>
  </w:style>
  <w:style w:type="character" w:customStyle="1" w:styleId="italic">
    <w:name w:val="italic"/>
    <w:basedOn w:val="DefaultParagraphFont"/>
    <w:rsid w:val="00D32AC0"/>
  </w:style>
  <w:style w:type="paragraph" w:customStyle="1" w:styleId="Pa8">
    <w:name w:val="Pa8"/>
    <w:basedOn w:val="Normal"/>
    <w:next w:val="Normal"/>
    <w:uiPriority w:val="99"/>
    <w:rsid w:val="00980F92"/>
    <w:pPr>
      <w:autoSpaceDE w:val="0"/>
      <w:autoSpaceDN w:val="0"/>
      <w:adjustRightInd w:val="0"/>
      <w:spacing w:line="221" w:lineRule="atLeast"/>
    </w:pPr>
    <w:rPr>
      <w:rFonts w:ascii="Book Antiqua" w:hAnsi="Book Antiqua" w:cstheme="minorBidi"/>
    </w:rPr>
  </w:style>
  <w:style w:type="paragraph" w:customStyle="1" w:styleId="quote-author">
    <w:name w:val="quote-author"/>
    <w:basedOn w:val="Normal"/>
    <w:rsid w:val="00254653"/>
    <w:pPr>
      <w:spacing w:before="100" w:beforeAutospacing="1" w:after="100" w:afterAutospacing="1"/>
    </w:pPr>
    <w:rPr>
      <w:rFonts w:eastAsia="Times New Roman"/>
    </w:rPr>
  </w:style>
  <w:style w:type="character" w:customStyle="1" w:styleId="quote-authorname">
    <w:name w:val="quote-author__name"/>
    <w:basedOn w:val="DefaultParagraphFont"/>
    <w:rsid w:val="00254653"/>
  </w:style>
  <w:style w:type="character" w:customStyle="1" w:styleId="quote-authortitle">
    <w:name w:val="quote-author__title"/>
    <w:basedOn w:val="DefaultParagraphFont"/>
    <w:rsid w:val="00254653"/>
  </w:style>
  <w:style w:type="character" w:styleId="HTMLDefinition">
    <w:name w:val="HTML Definition"/>
    <w:basedOn w:val="DefaultParagraphFont"/>
    <w:uiPriority w:val="99"/>
    <w:semiHidden/>
    <w:unhideWhenUsed/>
    <w:rsid w:val="00D21CDE"/>
    <w:rPr>
      <w:i/>
      <w:iCs/>
    </w:rPr>
  </w:style>
  <w:style w:type="paragraph" w:customStyle="1" w:styleId="tarticle-subtitle">
    <w:name w:val="t_article-subtitle"/>
    <w:basedOn w:val="Normal"/>
    <w:rsid w:val="00BF5003"/>
    <w:pPr>
      <w:spacing w:before="100" w:beforeAutospacing="1" w:after="100" w:afterAutospacing="1"/>
    </w:pPr>
    <w:rPr>
      <w:rFonts w:eastAsia="Times New Roman"/>
    </w:rPr>
  </w:style>
  <w:style w:type="character" w:customStyle="1" w:styleId="period">
    <w:name w:val="period"/>
    <w:basedOn w:val="DefaultParagraphFont"/>
    <w:rsid w:val="00EA7647"/>
  </w:style>
  <w:style w:type="character" w:customStyle="1" w:styleId="secondary-date">
    <w:name w:val="secondary-date"/>
    <w:basedOn w:val="DefaultParagraphFont"/>
    <w:rsid w:val="00EA7647"/>
  </w:style>
  <w:style w:type="character" w:customStyle="1" w:styleId="sics-componentbylineauthor">
    <w:name w:val="sics-component__byline__author"/>
    <w:basedOn w:val="DefaultParagraphFont"/>
    <w:rsid w:val="004952F4"/>
  </w:style>
  <w:style w:type="character" w:customStyle="1" w:styleId="sics-componentbylinedate">
    <w:name w:val="sics-component__byline__date"/>
    <w:basedOn w:val="DefaultParagraphFont"/>
    <w:rsid w:val="004952F4"/>
  </w:style>
  <w:style w:type="paragraph" w:customStyle="1" w:styleId="Pa26">
    <w:name w:val="Pa26"/>
    <w:basedOn w:val="Normal"/>
    <w:next w:val="Normal"/>
    <w:uiPriority w:val="99"/>
    <w:rsid w:val="00980F92"/>
    <w:pPr>
      <w:autoSpaceDE w:val="0"/>
      <w:autoSpaceDN w:val="0"/>
      <w:adjustRightInd w:val="0"/>
      <w:spacing w:line="221" w:lineRule="atLeast"/>
    </w:pPr>
    <w:rPr>
      <w:rFonts w:ascii="Book Antiqua" w:hAnsi="Book Antiqua" w:cstheme="minorBidi"/>
    </w:rPr>
  </w:style>
  <w:style w:type="paragraph" w:customStyle="1" w:styleId="Pa27">
    <w:name w:val="Pa27"/>
    <w:basedOn w:val="Normal"/>
    <w:next w:val="Normal"/>
    <w:uiPriority w:val="99"/>
    <w:rsid w:val="00980F92"/>
    <w:pPr>
      <w:autoSpaceDE w:val="0"/>
      <w:autoSpaceDN w:val="0"/>
      <w:adjustRightInd w:val="0"/>
      <w:spacing w:line="221" w:lineRule="atLeast"/>
    </w:pPr>
    <w:rPr>
      <w:rFonts w:ascii="Book Antiqua" w:hAnsi="Book Antiqua" w:cstheme="minorBidi"/>
    </w:rPr>
  </w:style>
  <w:style w:type="paragraph" w:customStyle="1" w:styleId="Pa4">
    <w:name w:val="Pa4"/>
    <w:basedOn w:val="Normal"/>
    <w:next w:val="Normal"/>
    <w:uiPriority w:val="99"/>
    <w:rsid w:val="00980F92"/>
    <w:pPr>
      <w:autoSpaceDE w:val="0"/>
      <w:autoSpaceDN w:val="0"/>
      <w:adjustRightInd w:val="0"/>
      <w:spacing w:line="201" w:lineRule="atLeast"/>
    </w:pPr>
    <w:rPr>
      <w:rFonts w:ascii="Fira Sans SemiBold" w:hAnsi="Fira Sans SemiBold" w:cstheme="minorBidi"/>
    </w:rPr>
  </w:style>
  <w:style w:type="paragraph" w:customStyle="1" w:styleId="Pa5">
    <w:name w:val="Pa5"/>
    <w:basedOn w:val="Normal"/>
    <w:next w:val="Normal"/>
    <w:uiPriority w:val="99"/>
    <w:rsid w:val="00980F92"/>
    <w:pPr>
      <w:autoSpaceDE w:val="0"/>
      <w:autoSpaceDN w:val="0"/>
      <w:adjustRightInd w:val="0"/>
      <w:spacing w:line="201" w:lineRule="atLeast"/>
    </w:pPr>
    <w:rPr>
      <w:rFonts w:ascii="Fira Sans SemiBold" w:hAnsi="Fira Sans SemiBold" w:cstheme="minorBidi"/>
    </w:rPr>
  </w:style>
  <w:style w:type="character" w:customStyle="1" w:styleId="year">
    <w:name w:val="year"/>
    <w:basedOn w:val="DefaultParagraphFont"/>
    <w:rsid w:val="007F50DE"/>
  </w:style>
  <w:style w:type="paragraph" w:customStyle="1" w:styleId="Default">
    <w:name w:val="Default"/>
    <w:rsid w:val="0072596E"/>
    <w:pPr>
      <w:autoSpaceDE w:val="0"/>
      <w:autoSpaceDN w:val="0"/>
      <w:adjustRightInd w:val="0"/>
      <w:spacing w:after="0" w:line="240" w:lineRule="auto"/>
    </w:pPr>
    <w:rPr>
      <w:rFonts w:ascii="Arial" w:hAnsi="Arial" w:cs="Arial"/>
      <w:color w:val="000000"/>
      <w:sz w:val="24"/>
      <w:szCs w:val="24"/>
    </w:rPr>
  </w:style>
  <w:style w:type="character" w:customStyle="1" w:styleId="nc684nl6">
    <w:name w:val="nc684nl6"/>
    <w:basedOn w:val="DefaultParagraphFont"/>
    <w:rsid w:val="000001CC"/>
  </w:style>
  <w:style w:type="paragraph" w:customStyle="1" w:styleId="BodyTextIndent1">
    <w:name w:val="Body Text Indent1"/>
    <w:rsid w:val="00E533D8"/>
    <w:pPr>
      <w:ind w:left="720"/>
    </w:pPr>
    <w:rPr>
      <w:rFonts w:ascii="Times New Roman" w:hAnsi="Times New Roman" w:cs="Times New Roman"/>
      <w:i/>
      <w:iCs/>
      <w:szCs w:val="24"/>
    </w:rPr>
  </w:style>
  <w:style w:type="character" w:customStyle="1" w:styleId="markedcontent">
    <w:name w:val="markedcontent"/>
    <w:basedOn w:val="DefaultParagraphFont"/>
    <w:uiPriority w:val="99"/>
    <w:rsid w:val="00997638"/>
  </w:style>
  <w:style w:type="paragraph" w:customStyle="1" w:styleId="photo-captionedinformation">
    <w:name w:val="photo-captioned__information"/>
    <w:basedOn w:val="Normal"/>
    <w:rsid w:val="00F225DF"/>
    <w:pPr>
      <w:spacing w:before="100" w:beforeAutospacing="1" w:after="100" w:afterAutospacing="1"/>
    </w:pPr>
    <w:rPr>
      <w:rFonts w:eastAsia="Times New Roman"/>
    </w:rPr>
  </w:style>
  <w:style w:type="character" w:customStyle="1" w:styleId="credit">
    <w:name w:val="credit"/>
    <w:basedOn w:val="DefaultParagraphFont"/>
    <w:rsid w:val="00F225DF"/>
  </w:style>
  <w:style w:type="character" w:customStyle="1" w:styleId="sr-only">
    <w:name w:val="sr-only"/>
    <w:basedOn w:val="DefaultParagraphFont"/>
    <w:rsid w:val="006875CE"/>
  </w:style>
  <w:style w:type="paragraph" w:customStyle="1" w:styleId="text-center">
    <w:name w:val="text-center"/>
    <w:basedOn w:val="Normal"/>
    <w:rsid w:val="006875CE"/>
    <w:pPr>
      <w:spacing w:before="100" w:beforeAutospacing="1" w:after="100" w:afterAutospacing="1"/>
    </w:pPr>
    <w:rPr>
      <w:rFonts w:eastAsia="Times New Roman"/>
    </w:rPr>
  </w:style>
  <w:style w:type="paragraph" w:customStyle="1" w:styleId="EndNoteBibliography">
    <w:name w:val="EndNote Bibliography"/>
    <w:basedOn w:val="Normal"/>
    <w:link w:val="EndNoteBibliographyChar"/>
    <w:rsid w:val="00F4675B"/>
    <w:pPr>
      <w:spacing w:after="160"/>
    </w:pPr>
    <w:rPr>
      <w:rFonts w:ascii="Calibri" w:hAnsi="Calibri" w:cs="Calibri"/>
      <w:noProof/>
      <w:sz w:val="22"/>
      <w:szCs w:val="22"/>
      <w:lang w:val="en-US" w:eastAsia="en-US"/>
    </w:rPr>
  </w:style>
  <w:style w:type="character" w:customStyle="1" w:styleId="EndNoteBibliographyChar">
    <w:name w:val="EndNote Bibliography Char"/>
    <w:basedOn w:val="DefaultParagraphFont"/>
    <w:link w:val="EndNoteBibliography"/>
    <w:rsid w:val="00F4675B"/>
    <w:rPr>
      <w:rFonts w:ascii="Calibri" w:hAnsi="Calibri" w:cs="Calibri"/>
      <w:noProof/>
      <w:lang w:val="en-US" w:eastAsia="en-US"/>
    </w:rPr>
  </w:style>
  <w:style w:type="paragraph" w:customStyle="1" w:styleId="Pa0">
    <w:name w:val="Pa0"/>
    <w:basedOn w:val="Default"/>
    <w:next w:val="Default"/>
    <w:uiPriority w:val="99"/>
    <w:rsid w:val="0001598E"/>
    <w:pPr>
      <w:spacing w:line="241" w:lineRule="atLeast"/>
    </w:pPr>
    <w:rPr>
      <w:color w:val="auto"/>
    </w:rPr>
  </w:style>
  <w:style w:type="character" w:customStyle="1" w:styleId="highwire-cite-journal">
    <w:name w:val="highwire-cite-journal"/>
    <w:basedOn w:val="DefaultParagraphFont"/>
    <w:rsid w:val="000878C3"/>
  </w:style>
  <w:style w:type="character" w:customStyle="1" w:styleId="highwire-cite-article-as">
    <w:name w:val="highwire-cite-article-as"/>
    <w:basedOn w:val="DefaultParagraphFont"/>
    <w:rsid w:val="005D4E30"/>
  </w:style>
  <w:style w:type="character" w:customStyle="1" w:styleId="lead">
    <w:name w:val="lead"/>
    <w:basedOn w:val="DefaultParagraphFont"/>
    <w:rsid w:val="00E14A34"/>
  </w:style>
  <w:style w:type="paragraph" w:styleId="CommentText">
    <w:name w:val="annotation text"/>
    <w:basedOn w:val="Normal"/>
    <w:link w:val="CommentTextChar"/>
    <w:uiPriority w:val="99"/>
    <w:unhideWhenUsed/>
    <w:rsid w:val="002F72AA"/>
    <w:rPr>
      <w:sz w:val="20"/>
      <w:szCs w:val="20"/>
    </w:rPr>
  </w:style>
  <w:style w:type="character" w:customStyle="1" w:styleId="CommentTextChar">
    <w:name w:val="Comment Text Char"/>
    <w:basedOn w:val="DefaultParagraphFont"/>
    <w:link w:val="CommentText"/>
    <w:uiPriority w:val="99"/>
    <w:rsid w:val="002F72AA"/>
    <w:rPr>
      <w:rFonts w:ascii="Times New Roman" w:hAnsi="Times New Roman" w:cs="Times New Roman"/>
      <w:sz w:val="20"/>
      <w:szCs w:val="20"/>
    </w:rPr>
  </w:style>
  <w:style w:type="character" w:customStyle="1" w:styleId="cit">
    <w:name w:val="cit"/>
    <w:basedOn w:val="DefaultParagraphFont"/>
    <w:rsid w:val="00F93033"/>
  </w:style>
  <w:style w:type="character" w:customStyle="1" w:styleId="highlight">
    <w:name w:val="highlight"/>
    <w:basedOn w:val="DefaultParagraphFont"/>
    <w:rsid w:val="005864B3"/>
  </w:style>
  <w:style w:type="character" w:customStyle="1" w:styleId="article-headerdate">
    <w:name w:val="article-header__date"/>
    <w:basedOn w:val="DefaultParagraphFont"/>
    <w:rsid w:val="005864B3"/>
  </w:style>
  <w:style w:type="character" w:customStyle="1" w:styleId="A5">
    <w:name w:val="A5"/>
    <w:uiPriority w:val="99"/>
    <w:rsid w:val="003F6EE7"/>
    <w:rPr>
      <w:rFonts w:cs="Fira Sans"/>
      <w:color w:val="000000"/>
      <w:sz w:val="11"/>
      <w:szCs w:val="11"/>
    </w:rPr>
  </w:style>
  <w:style w:type="paragraph" w:customStyle="1" w:styleId="Pa10">
    <w:name w:val="Pa10"/>
    <w:basedOn w:val="Default"/>
    <w:next w:val="Default"/>
    <w:uiPriority w:val="99"/>
    <w:rsid w:val="009C349C"/>
    <w:pPr>
      <w:spacing w:line="201" w:lineRule="atLeast"/>
    </w:pPr>
    <w:rPr>
      <w:rFonts w:ascii="Fira Sans" w:hAnsi="Fira Sans" w:cstheme="minorBidi"/>
      <w:color w:val="auto"/>
    </w:rPr>
  </w:style>
  <w:style w:type="character" w:customStyle="1" w:styleId="A7">
    <w:name w:val="A7"/>
    <w:uiPriority w:val="99"/>
    <w:rsid w:val="006B3476"/>
    <w:rPr>
      <w:rFonts w:cs="Fira Sans"/>
      <w:color w:val="000000"/>
      <w:sz w:val="20"/>
      <w:szCs w:val="20"/>
    </w:rPr>
  </w:style>
  <w:style w:type="paragraph" w:customStyle="1" w:styleId="gmail-msolistparagraph">
    <w:name w:val="gmail-msolistparagraph"/>
    <w:basedOn w:val="Normal"/>
    <w:rsid w:val="00092692"/>
    <w:pPr>
      <w:spacing w:before="100" w:beforeAutospacing="1" w:after="100" w:afterAutospacing="1"/>
    </w:pPr>
    <w:rPr>
      <w:rFonts w:ascii="Calibri" w:hAnsi="Calibri" w:cs="Calibri"/>
      <w:sz w:val="22"/>
      <w:szCs w:val="22"/>
    </w:rPr>
  </w:style>
  <w:style w:type="paragraph" w:customStyle="1" w:styleId="Heading">
    <w:name w:val="Heading"/>
    <w:next w:val="Body"/>
    <w:rsid w:val="007E05FE"/>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6"/>
      <w:szCs w:val="36"/>
      <w:bdr w:val="nil"/>
      <w:lang w:val="en-US"/>
      <w14:textOutline w14:w="0" w14:cap="flat" w14:cmpd="sng" w14:algn="ctr">
        <w14:noFill/>
        <w14:prstDash w14:val="solid"/>
        <w14:bevel/>
      </w14:textOutline>
    </w:rPr>
  </w:style>
  <w:style w:type="paragraph" w:customStyle="1" w:styleId="Body">
    <w:name w:val="Body"/>
    <w:rsid w:val="007E05F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character" w:customStyle="1" w:styleId="Hyperlink0">
    <w:name w:val="Hyperlink.0"/>
    <w:basedOn w:val="Hyperlink"/>
    <w:rsid w:val="007E05FE"/>
    <w:rPr>
      <w:rFonts w:ascii="Times New Roman" w:hAnsi="Times New Roman" w:cs="Times New Roman"/>
      <w:outline w:val="0"/>
      <w:color w:val="0000FF"/>
      <w:u w:val="single" w:color="0000FF"/>
    </w:rPr>
  </w:style>
  <w:style w:type="character" w:customStyle="1" w:styleId="None">
    <w:name w:val="None"/>
    <w:rsid w:val="007E05FE"/>
  </w:style>
  <w:style w:type="character" w:customStyle="1" w:styleId="Hyperlink1">
    <w:name w:val="Hyperlink.1"/>
    <w:basedOn w:val="None"/>
    <w:rsid w:val="007E05FE"/>
    <w:rPr>
      <w:outline w:val="0"/>
      <w:color w:val="0000FF"/>
      <w:u w:val="single" w:color="0000FF"/>
    </w:rPr>
  </w:style>
  <w:style w:type="character" w:customStyle="1" w:styleId="Hyperlink2">
    <w:name w:val="Hyperlink.2"/>
    <w:basedOn w:val="None"/>
    <w:rsid w:val="007E05FE"/>
    <w:rPr>
      <w:outline w:val="0"/>
      <w:color w:val="0433FF"/>
      <w:u w:val="single"/>
    </w:rPr>
  </w:style>
  <w:style w:type="paragraph" w:customStyle="1" w:styleId="BodyA">
    <w:name w:val="Body A"/>
    <w:rsid w:val="007E05FE"/>
    <w:pPr>
      <w:pBdr>
        <w:top w:val="nil"/>
        <w:left w:val="nil"/>
        <w:bottom w:val="nil"/>
        <w:right w:val="nil"/>
        <w:between w:val="nil"/>
        <w:bar w:val="nil"/>
      </w:pBdr>
      <w:spacing w:line="240" w:lineRule="auto"/>
    </w:pPr>
    <w:rPr>
      <w:rFonts w:ascii="Publico Text Roman" w:eastAsia="Publico Text Roman" w:hAnsi="Publico Text Roman" w:cs="Publico Text Roman"/>
      <w:color w:val="000000"/>
      <w:sz w:val="20"/>
      <w:szCs w:val="20"/>
      <w:u w:color="000000"/>
      <w:bdr w:val="nil"/>
      <w:lang w:val="en-US"/>
      <w14:textOutline w14:w="12700" w14:cap="flat" w14:cmpd="sng" w14:algn="ctr">
        <w14:noFill/>
        <w14:prstDash w14:val="solid"/>
        <w14:miter w14:lim="400000"/>
      </w14:textOutline>
    </w:rPr>
  </w:style>
  <w:style w:type="character" w:customStyle="1" w:styleId="Hyperlink3">
    <w:name w:val="Hyperlink.3"/>
    <w:basedOn w:val="None"/>
    <w:rsid w:val="007E05FE"/>
    <w:rPr>
      <w:u w:val="single"/>
    </w:rPr>
  </w:style>
  <w:style w:type="paragraph" w:styleId="NoSpacing">
    <w:name w:val="No Spacing"/>
    <w:rsid w:val="007E05F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highwire-citation-authors">
    <w:name w:val="highwire-citation-authors"/>
    <w:basedOn w:val="DefaultParagraphFont"/>
    <w:rsid w:val="00455A53"/>
  </w:style>
  <w:style w:type="character" w:customStyle="1" w:styleId="highwire-citation-author">
    <w:name w:val="highwire-citation-author"/>
    <w:basedOn w:val="DefaultParagraphFont"/>
    <w:rsid w:val="00455A53"/>
  </w:style>
  <w:style w:type="character" w:customStyle="1" w:styleId="nlm-given-names">
    <w:name w:val="nlm-given-names"/>
    <w:basedOn w:val="DefaultParagraphFont"/>
    <w:rsid w:val="00455A53"/>
  </w:style>
  <w:style w:type="character" w:customStyle="1" w:styleId="nlm-surname">
    <w:name w:val="nlm-surname"/>
    <w:basedOn w:val="DefaultParagraphFont"/>
    <w:rsid w:val="00455A53"/>
  </w:style>
  <w:style w:type="character" w:customStyle="1" w:styleId="highwire-cite-metadata-doi">
    <w:name w:val="highwire-cite-metadata-doi"/>
    <w:basedOn w:val="DefaultParagraphFont"/>
    <w:rsid w:val="005A09A6"/>
  </w:style>
  <w:style w:type="character" w:customStyle="1" w:styleId="label">
    <w:name w:val="label"/>
    <w:basedOn w:val="DefaultParagraphFont"/>
    <w:rsid w:val="005A09A6"/>
  </w:style>
  <w:style w:type="paragraph" w:customStyle="1" w:styleId="Pa1">
    <w:name w:val="Pa1"/>
    <w:basedOn w:val="Default"/>
    <w:next w:val="Default"/>
    <w:uiPriority w:val="99"/>
    <w:rsid w:val="00B8575E"/>
    <w:pPr>
      <w:spacing w:line="201" w:lineRule="atLeast"/>
    </w:pPr>
    <w:rPr>
      <w:rFonts w:ascii="Fira Sans" w:hAnsi="Fira Sans" w:cstheme="minorBidi"/>
      <w:color w:val="auto"/>
    </w:rPr>
  </w:style>
  <w:style w:type="character" w:customStyle="1" w:styleId="authorortitle">
    <w:name w:val="authorortitle"/>
    <w:basedOn w:val="DefaultParagraphFont"/>
    <w:rsid w:val="001F7349"/>
  </w:style>
  <w:style w:type="character" w:customStyle="1" w:styleId="Caption1">
    <w:name w:val="Caption1"/>
    <w:basedOn w:val="DefaultParagraphFont"/>
    <w:rsid w:val="00BD43F1"/>
  </w:style>
  <w:style w:type="character" w:customStyle="1" w:styleId="citation">
    <w:name w:val="citation"/>
    <w:basedOn w:val="DefaultParagraphFont"/>
    <w:rsid w:val="00001C6A"/>
  </w:style>
  <w:style w:type="character" w:customStyle="1" w:styleId="hgkelc">
    <w:name w:val="hgkelc"/>
    <w:basedOn w:val="DefaultParagraphFont"/>
    <w:rsid w:val="00742605"/>
  </w:style>
  <w:style w:type="character" w:customStyle="1" w:styleId="public-draftstyledefault-block">
    <w:name w:val="public-draftstyledefault-block"/>
    <w:basedOn w:val="DefaultParagraphFont"/>
    <w:rsid w:val="000D2F40"/>
  </w:style>
  <w:style w:type="character" w:customStyle="1" w:styleId="CRBodytextChar">
    <w:name w:val="CR Body text Char"/>
    <w:uiPriority w:val="99"/>
    <w:rsid w:val="00A8630E"/>
    <w:rPr>
      <w:rFonts w:cs="Futura LT Light"/>
      <w:color w:val="000000"/>
      <w:sz w:val="22"/>
      <w:szCs w:val="22"/>
    </w:rPr>
  </w:style>
  <w:style w:type="character" w:customStyle="1" w:styleId="A3">
    <w:name w:val="A3"/>
    <w:uiPriority w:val="99"/>
    <w:rsid w:val="003720EC"/>
    <w:rPr>
      <w:rFonts w:cs="Droid Serif"/>
      <w:color w:val="221E1F"/>
      <w:sz w:val="10"/>
      <w:szCs w:val="10"/>
    </w:rPr>
  </w:style>
  <w:style w:type="character" w:customStyle="1" w:styleId="x193iq5w">
    <w:name w:val="x193iq5w"/>
    <w:basedOn w:val="DefaultParagraphFont"/>
    <w:rsid w:val="004D4C21"/>
  </w:style>
  <w:style w:type="character" w:customStyle="1" w:styleId="x4k7w5x">
    <w:name w:val="x4k7w5x"/>
    <w:basedOn w:val="DefaultParagraphFont"/>
    <w:rsid w:val="004D4C21"/>
  </w:style>
  <w:style w:type="character" w:customStyle="1" w:styleId="no-break">
    <w:name w:val="no-break"/>
    <w:basedOn w:val="DefaultParagraphFont"/>
    <w:rsid w:val="00403EAB"/>
  </w:style>
  <w:style w:type="paragraph" w:customStyle="1" w:styleId="NoParagraphStyle">
    <w:name w:val="[No Paragraph Style]"/>
    <w:rsid w:val="00403EAB"/>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au-headertext--subline">
    <w:name w:val="au-header__text--subline"/>
    <w:basedOn w:val="DefaultParagraphFont"/>
    <w:rsid w:val="0031523D"/>
  </w:style>
  <w:style w:type="character" w:customStyle="1" w:styleId="A9">
    <w:name w:val="A9"/>
    <w:uiPriority w:val="99"/>
    <w:rsid w:val="00BA7DE1"/>
    <w:rPr>
      <w:rFonts w:cs="The Sans Light"/>
      <w:color w:val="211D1E"/>
      <w:sz w:val="10"/>
      <w:szCs w:val="10"/>
    </w:rPr>
  </w:style>
  <w:style w:type="character" w:customStyle="1" w:styleId="normaltextrun">
    <w:name w:val="normaltextrun"/>
    <w:basedOn w:val="DefaultParagraphFont"/>
    <w:rsid w:val="00BA7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34">
      <w:bodyDiv w:val="1"/>
      <w:marLeft w:val="0"/>
      <w:marRight w:val="0"/>
      <w:marTop w:val="0"/>
      <w:marBottom w:val="0"/>
      <w:divBdr>
        <w:top w:val="none" w:sz="0" w:space="0" w:color="auto"/>
        <w:left w:val="none" w:sz="0" w:space="0" w:color="auto"/>
        <w:bottom w:val="none" w:sz="0" w:space="0" w:color="auto"/>
        <w:right w:val="none" w:sz="0" w:space="0" w:color="auto"/>
      </w:divBdr>
    </w:div>
    <w:div w:id="5518838">
      <w:bodyDiv w:val="1"/>
      <w:marLeft w:val="0"/>
      <w:marRight w:val="0"/>
      <w:marTop w:val="0"/>
      <w:marBottom w:val="0"/>
      <w:divBdr>
        <w:top w:val="none" w:sz="0" w:space="0" w:color="auto"/>
        <w:left w:val="none" w:sz="0" w:space="0" w:color="auto"/>
        <w:bottom w:val="none" w:sz="0" w:space="0" w:color="auto"/>
        <w:right w:val="none" w:sz="0" w:space="0" w:color="auto"/>
      </w:divBdr>
    </w:div>
    <w:div w:id="6056235">
      <w:bodyDiv w:val="1"/>
      <w:marLeft w:val="0"/>
      <w:marRight w:val="0"/>
      <w:marTop w:val="0"/>
      <w:marBottom w:val="0"/>
      <w:divBdr>
        <w:top w:val="none" w:sz="0" w:space="0" w:color="auto"/>
        <w:left w:val="none" w:sz="0" w:space="0" w:color="auto"/>
        <w:bottom w:val="none" w:sz="0" w:space="0" w:color="auto"/>
        <w:right w:val="none" w:sz="0" w:space="0" w:color="auto"/>
      </w:divBdr>
    </w:div>
    <w:div w:id="8533344">
      <w:bodyDiv w:val="1"/>
      <w:marLeft w:val="0"/>
      <w:marRight w:val="0"/>
      <w:marTop w:val="0"/>
      <w:marBottom w:val="0"/>
      <w:divBdr>
        <w:top w:val="none" w:sz="0" w:space="0" w:color="auto"/>
        <w:left w:val="none" w:sz="0" w:space="0" w:color="auto"/>
        <w:bottom w:val="none" w:sz="0" w:space="0" w:color="auto"/>
        <w:right w:val="none" w:sz="0" w:space="0" w:color="auto"/>
      </w:divBdr>
    </w:div>
    <w:div w:id="9645412">
      <w:bodyDiv w:val="1"/>
      <w:marLeft w:val="0"/>
      <w:marRight w:val="0"/>
      <w:marTop w:val="0"/>
      <w:marBottom w:val="0"/>
      <w:divBdr>
        <w:top w:val="none" w:sz="0" w:space="0" w:color="auto"/>
        <w:left w:val="none" w:sz="0" w:space="0" w:color="auto"/>
        <w:bottom w:val="none" w:sz="0" w:space="0" w:color="auto"/>
        <w:right w:val="none" w:sz="0" w:space="0" w:color="auto"/>
      </w:divBdr>
    </w:div>
    <w:div w:id="11423737">
      <w:bodyDiv w:val="1"/>
      <w:marLeft w:val="0"/>
      <w:marRight w:val="0"/>
      <w:marTop w:val="0"/>
      <w:marBottom w:val="0"/>
      <w:divBdr>
        <w:top w:val="none" w:sz="0" w:space="0" w:color="auto"/>
        <w:left w:val="none" w:sz="0" w:space="0" w:color="auto"/>
        <w:bottom w:val="none" w:sz="0" w:space="0" w:color="auto"/>
        <w:right w:val="none" w:sz="0" w:space="0" w:color="auto"/>
      </w:divBdr>
      <w:divsChild>
        <w:div w:id="1624267669">
          <w:marLeft w:val="0"/>
          <w:marRight w:val="0"/>
          <w:marTop w:val="0"/>
          <w:marBottom w:val="0"/>
          <w:divBdr>
            <w:top w:val="none" w:sz="0" w:space="0" w:color="auto"/>
            <w:left w:val="none" w:sz="0" w:space="0" w:color="auto"/>
            <w:bottom w:val="none" w:sz="0" w:space="0" w:color="auto"/>
            <w:right w:val="none" w:sz="0" w:space="0" w:color="auto"/>
          </w:divBdr>
        </w:div>
        <w:div w:id="1964385732">
          <w:marLeft w:val="0"/>
          <w:marRight w:val="0"/>
          <w:marTop w:val="0"/>
          <w:marBottom w:val="0"/>
          <w:divBdr>
            <w:top w:val="none" w:sz="0" w:space="0" w:color="auto"/>
            <w:left w:val="none" w:sz="0" w:space="0" w:color="auto"/>
            <w:bottom w:val="none" w:sz="0" w:space="0" w:color="auto"/>
            <w:right w:val="none" w:sz="0" w:space="0" w:color="auto"/>
          </w:divBdr>
        </w:div>
      </w:divsChild>
    </w:div>
    <w:div w:id="12538124">
      <w:bodyDiv w:val="1"/>
      <w:marLeft w:val="0"/>
      <w:marRight w:val="0"/>
      <w:marTop w:val="0"/>
      <w:marBottom w:val="0"/>
      <w:divBdr>
        <w:top w:val="none" w:sz="0" w:space="0" w:color="auto"/>
        <w:left w:val="none" w:sz="0" w:space="0" w:color="auto"/>
        <w:bottom w:val="none" w:sz="0" w:space="0" w:color="auto"/>
        <w:right w:val="none" w:sz="0" w:space="0" w:color="auto"/>
      </w:divBdr>
    </w:div>
    <w:div w:id="29840556">
      <w:bodyDiv w:val="1"/>
      <w:marLeft w:val="0"/>
      <w:marRight w:val="0"/>
      <w:marTop w:val="0"/>
      <w:marBottom w:val="0"/>
      <w:divBdr>
        <w:top w:val="none" w:sz="0" w:space="0" w:color="auto"/>
        <w:left w:val="none" w:sz="0" w:space="0" w:color="auto"/>
        <w:bottom w:val="none" w:sz="0" w:space="0" w:color="auto"/>
        <w:right w:val="none" w:sz="0" w:space="0" w:color="auto"/>
      </w:divBdr>
    </w:div>
    <w:div w:id="38822367">
      <w:bodyDiv w:val="1"/>
      <w:marLeft w:val="0"/>
      <w:marRight w:val="0"/>
      <w:marTop w:val="0"/>
      <w:marBottom w:val="0"/>
      <w:divBdr>
        <w:top w:val="none" w:sz="0" w:space="0" w:color="auto"/>
        <w:left w:val="none" w:sz="0" w:space="0" w:color="auto"/>
        <w:bottom w:val="none" w:sz="0" w:space="0" w:color="auto"/>
        <w:right w:val="none" w:sz="0" w:space="0" w:color="auto"/>
      </w:divBdr>
    </w:div>
    <w:div w:id="44916978">
      <w:bodyDiv w:val="1"/>
      <w:marLeft w:val="0"/>
      <w:marRight w:val="0"/>
      <w:marTop w:val="0"/>
      <w:marBottom w:val="0"/>
      <w:divBdr>
        <w:top w:val="none" w:sz="0" w:space="0" w:color="auto"/>
        <w:left w:val="none" w:sz="0" w:space="0" w:color="auto"/>
        <w:bottom w:val="none" w:sz="0" w:space="0" w:color="auto"/>
        <w:right w:val="none" w:sz="0" w:space="0" w:color="auto"/>
      </w:divBdr>
      <w:divsChild>
        <w:div w:id="28145987">
          <w:marLeft w:val="0"/>
          <w:marRight w:val="0"/>
          <w:marTop w:val="0"/>
          <w:marBottom w:val="0"/>
          <w:divBdr>
            <w:top w:val="none" w:sz="0" w:space="0" w:color="auto"/>
            <w:left w:val="none" w:sz="0" w:space="0" w:color="auto"/>
            <w:bottom w:val="none" w:sz="0" w:space="0" w:color="auto"/>
            <w:right w:val="none" w:sz="0" w:space="0" w:color="auto"/>
          </w:divBdr>
          <w:divsChild>
            <w:div w:id="1359157455">
              <w:marLeft w:val="0"/>
              <w:marRight w:val="0"/>
              <w:marTop w:val="0"/>
              <w:marBottom w:val="0"/>
              <w:divBdr>
                <w:top w:val="none" w:sz="0" w:space="0" w:color="auto"/>
                <w:left w:val="none" w:sz="0" w:space="0" w:color="auto"/>
                <w:bottom w:val="none" w:sz="0" w:space="0" w:color="auto"/>
                <w:right w:val="none" w:sz="0" w:space="0" w:color="auto"/>
              </w:divBdr>
              <w:divsChild>
                <w:div w:id="1174302012">
                  <w:marLeft w:val="0"/>
                  <w:marRight w:val="0"/>
                  <w:marTop w:val="0"/>
                  <w:marBottom w:val="0"/>
                  <w:divBdr>
                    <w:top w:val="none" w:sz="0" w:space="0" w:color="auto"/>
                    <w:left w:val="none" w:sz="0" w:space="0" w:color="auto"/>
                    <w:bottom w:val="none" w:sz="0" w:space="0" w:color="auto"/>
                    <w:right w:val="none" w:sz="0" w:space="0" w:color="auto"/>
                  </w:divBdr>
                  <w:divsChild>
                    <w:div w:id="16867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38032">
              <w:marLeft w:val="0"/>
              <w:marRight w:val="0"/>
              <w:marTop w:val="0"/>
              <w:marBottom w:val="0"/>
              <w:divBdr>
                <w:top w:val="none" w:sz="0" w:space="0" w:color="auto"/>
                <w:left w:val="none" w:sz="0" w:space="0" w:color="auto"/>
                <w:bottom w:val="none" w:sz="0" w:space="0" w:color="auto"/>
                <w:right w:val="none" w:sz="0" w:space="0" w:color="auto"/>
              </w:divBdr>
              <w:divsChild>
                <w:div w:id="126333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3321">
          <w:marLeft w:val="0"/>
          <w:marRight w:val="0"/>
          <w:marTop w:val="0"/>
          <w:marBottom w:val="0"/>
          <w:divBdr>
            <w:top w:val="none" w:sz="0" w:space="0" w:color="auto"/>
            <w:left w:val="none" w:sz="0" w:space="0" w:color="auto"/>
            <w:bottom w:val="none" w:sz="0" w:space="0" w:color="auto"/>
            <w:right w:val="none" w:sz="0" w:space="0" w:color="auto"/>
          </w:divBdr>
          <w:divsChild>
            <w:div w:id="1812861071">
              <w:marLeft w:val="0"/>
              <w:marRight w:val="0"/>
              <w:marTop w:val="0"/>
              <w:marBottom w:val="0"/>
              <w:divBdr>
                <w:top w:val="none" w:sz="0" w:space="0" w:color="auto"/>
                <w:left w:val="none" w:sz="0" w:space="0" w:color="auto"/>
                <w:bottom w:val="none" w:sz="0" w:space="0" w:color="auto"/>
                <w:right w:val="none" w:sz="0" w:space="0" w:color="auto"/>
              </w:divBdr>
              <w:divsChild>
                <w:div w:id="1719283344">
                  <w:marLeft w:val="0"/>
                  <w:marRight w:val="0"/>
                  <w:marTop w:val="0"/>
                  <w:marBottom w:val="0"/>
                  <w:divBdr>
                    <w:top w:val="none" w:sz="0" w:space="0" w:color="auto"/>
                    <w:left w:val="none" w:sz="0" w:space="0" w:color="auto"/>
                    <w:bottom w:val="none" w:sz="0" w:space="0" w:color="auto"/>
                    <w:right w:val="none" w:sz="0" w:space="0" w:color="auto"/>
                  </w:divBdr>
                  <w:divsChild>
                    <w:div w:id="9114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18942">
              <w:marLeft w:val="0"/>
              <w:marRight w:val="0"/>
              <w:marTop w:val="0"/>
              <w:marBottom w:val="0"/>
              <w:divBdr>
                <w:top w:val="none" w:sz="0" w:space="0" w:color="auto"/>
                <w:left w:val="none" w:sz="0" w:space="0" w:color="auto"/>
                <w:bottom w:val="none" w:sz="0" w:space="0" w:color="auto"/>
                <w:right w:val="none" w:sz="0" w:space="0" w:color="auto"/>
              </w:divBdr>
              <w:divsChild>
                <w:div w:id="110653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6441">
          <w:marLeft w:val="0"/>
          <w:marRight w:val="0"/>
          <w:marTop w:val="0"/>
          <w:marBottom w:val="0"/>
          <w:divBdr>
            <w:top w:val="none" w:sz="0" w:space="0" w:color="auto"/>
            <w:left w:val="none" w:sz="0" w:space="0" w:color="auto"/>
            <w:bottom w:val="none" w:sz="0" w:space="0" w:color="auto"/>
            <w:right w:val="none" w:sz="0" w:space="0" w:color="auto"/>
          </w:divBdr>
          <w:divsChild>
            <w:div w:id="387264585">
              <w:marLeft w:val="0"/>
              <w:marRight w:val="0"/>
              <w:marTop w:val="0"/>
              <w:marBottom w:val="0"/>
              <w:divBdr>
                <w:top w:val="none" w:sz="0" w:space="0" w:color="auto"/>
                <w:left w:val="none" w:sz="0" w:space="0" w:color="auto"/>
                <w:bottom w:val="none" w:sz="0" w:space="0" w:color="auto"/>
                <w:right w:val="none" w:sz="0" w:space="0" w:color="auto"/>
              </w:divBdr>
              <w:divsChild>
                <w:div w:id="1425420625">
                  <w:marLeft w:val="0"/>
                  <w:marRight w:val="0"/>
                  <w:marTop w:val="0"/>
                  <w:marBottom w:val="0"/>
                  <w:divBdr>
                    <w:top w:val="none" w:sz="0" w:space="0" w:color="auto"/>
                    <w:left w:val="none" w:sz="0" w:space="0" w:color="auto"/>
                    <w:bottom w:val="none" w:sz="0" w:space="0" w:color="auto"/>
                    <w:right w:val="none" w:sz="0" w:space="0" w:color="auto"/>
                  </w:divBdr>
                  <w:divsChild>
                    <w:div w:id="14433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931736">
              <w:marLeft w:val="0"/>
              <w:marRight w:val="0"/>
              <w:marTop w:val="0"/>
              <w:marBottom w:val="0"/>
              <w:divBdr>
                <w:top w:val="none" w:sz="0" w:space="0" w:color="auto"/>
                <w:left w:val="none" w:sz="0" w:space="0" w:color="auto"/>
                <w:bottom w:val="none" w:sz="0" w:space="0" w:color="auto"/>
                <w:right w:val="none" w:sz="0" w:space="0" w:color="auto"/>
              </w:divBdr>
              <w:divsChild>
                <w:div w:id="19146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3255">
          <w:marLeft w:val="0"/>
          <w:marRight w:val="0"/>
          <w:marTop w:val="0"/>
          <w:marBottom w:val="0"/>
          <w:divBdr>
            <w:top w:val="none" w:sz="0" w:space="0" w:color="auto"/>
            <w:left w:val="none" w:sz="0" w:space="0" w:color="auto"/>
            <w:bottom w:val="none" w:sz="0" w:space="0" w:color="auto"/>
            <w:right w:val="none" w:sz="0" w:space="0" w:color="auto"/>
          </w:divBdr>
          <w:divsChild>
            <w:div w:id="1809085720">
              <w:marLeft w:val="0"/>
              <w:marRight w:val="0"/>
              <w:marTop w:val="0"/>
              <w:marBottom w:val="0"/>
              <w:divBdr>
                <w:top w:val="none" w:sz="0" w:space="0" w:color="auto"/>
                <w:left w:val="none" w:sz="0" w:space="0" w:color="auto"/>
                <w:bottom w:val="none" w:sz="0" w:space="0" w:color="auto"/>
                <w:right w:val="none" w:sz="0" w:space="0" w:color="auto"/>
              </w:divBdr>
              <w:divsChild>
                <w:div w:id="300424697">
                  <w:marLeft w:val="0"/>
                  <w:marRight w:val="0"/>
                  <w:marTop w:val="0"/>
                  <w:marBottom w:val="0"/>
                  <w:divBdr>
                    <w:top w:val="none" w:sz="0" w:space="0" w:color="auto"/>
                    <w:left w:val="none" w:sz="0" w:space="0" w:color="auto"/>
                    <w:bottom w:val="none" w:sz="0" w:space="0" w:color="auto"/>
                    <w:right w:val="none" w:sz="0" w:space="0" w:color="auto"/>
                  </w:divBdr>
                  <w:divsChild>
                    <w:div w:id="113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28064">
      <w:bodyDiv w:val="1"/>
      <w:marLeft w:val="0"/>
      <w:marRight w:val="0"/>
      <w:marTop w:val="0"/>
      <w:marBottom w:val="0"/>
      <w:divBdr>
        <w:top w:val="none" w:sz="0" w:space="0" w:color="auto"/>
        <w:left w:val="none" w:sz="0" w:space="0" w:color="auto"/>
        <w:bottom w:val="none" w:sz="0" w:space="0" w:color="auto"/>
        <w:right w:val="none" w:sz="0" w:space="0" w:color="auto"/>
      </w:divBdr>
      <w:divsChild>
        <w:div w:id="1015112764">
          <w:marLeft w:val="0"/>
          <w:marRight w:val="0"/>
          <w:marTop w:val="0"/>
          <w:marBottom w:val="0"/>
          <w:divBdr>
            <w:top w:val="none" w:sz="0" w:space="0" w:color="auto"/>
            <w:left w:val="none" w:sz="0" w:space="0" w:color="auto"/>
            <w:bottom w:val="none" w:sz="0" w:space="0" w:color="auto"/>
            <w:right w:val="none" w:sz="0" w:space="0" w:color="auto"/>
          </w:divBdr>
        </w:div>
      </w:divsChild>
    </w:div>
    <w:div w:id="50271210">
      <w:bodyDiv w:val="1"/>
      <w:marLeft w:val="0"/>
      <w:marRight w:val="0"/>
      <w:marTop w:val="0"/>
      <w:marBottom w:val="0"/>
      <w:divBdr>
        <w:top w:val="none" w:sz="0" w:space="0" w:color="auto"/>
        <w:left w:val="none" w:sz="0" w:space="0" w:color="auto"/>
        <w:bottom w:val="none" w:sz="0" w:space="0" w:color="auto"/>
        <w:right w:val="none" w:sz="0" w:space="0" w:color="auto"/>
      </w:divBdr>
    </w:div>
    <w:div w:id="51586727">
      <w:bodyDiv w:val="1"/>
      <w:marLeft w:val="0"/>
      <w:marRight w:val="0"/>
      <w:marTop w:val="0"/>
      <w:marBottom w:val="0"/>
      <w:divBdr>
        <w:top w:val="none" w:sz="0" w:space="0" w:color="auto"/>
        <w:left w:val="none" w:sz="0" w:space="0" w:color="auto"/>
        <w:bottom w:val="none" w:sz="0" w:space="0" w:color="auto"/>
        <w:right w:val="none" w:sz="0" w:space="0" w:color="auto"/>
      </w:divBdr>
    </w:div>
    <w:div w:id="58943736">
      <w:bodyDiv w:val="1"/>
      <w:marLeft w:val="0"/>
      <w:marRight w:val="0"/>
      <w:marTop w:val="0"/>
      <w:marBottom w:val="0"/>
      <w:divBdr>
        <w:top w:val="none" w:sz="0" w:space="0" w:color="auto"/>
        <w:left w:val="none" w:sz="0" w:space="0" w:color="auto"/>
        <w:bottom w:val="none" w:sz="0" w:space="0" w:color="auto"/>
        <w:right w:val="none" w:sz="0" w:space="0" w:color="auto"/>
      </w:divBdr>
    </w:div>
    <w:div w:id="59645076">
      <w:bodyDiv w:val="1"/>
      <w:marLeft w:val="0"/>
      <w:marRight w:val="0"/>
      <w:marTop w:val="0"/>
      <w:marBottom w:val="0"/>
      <w:divBdr>
        <w:top w:val="none" w:sz="0" w:space="0" w:color="auto"/>
        <w:left w:val="none" w:sz="0" w:space="0" w:color="auto"/>
        <w:bottom w:val="none" w:sz="0" w:space="0" w:color="auto"/>
        <w:right w:val="none" w:sz="0" w:space="0" w:color="auto"/>
      </w:divBdr>
    </w:div>
    <w:div w:id="63264534">
      <w:bodyDiv w:val="1"/>
      <w:marLeft w:val="0"/>
      <w:marRight w:val="0"/>
      <w:marTop w:val="0"/>
      <w:marBottom w:val="0"/>
      <w:divBdr>
        <w:top w:val="none" w:sz="0" w:space="0" w:color="auto"/>
        <w:left w:val="none" w:sz="0" w:space="0" w:color="auto"/>
        <w:bottom w:val="none" w:sz="0" w:space="0" w:color="auto"/>
        <w:right w:val="none" w:sz="0" w:space="0" w:color="auto"/>
      </w:divBdr>
    </w:div>
    <w:div w:id="75061398">
      <w:bodyDiv w:val="1"/>
      <w:marLeft w:val="0"/>
      <w:marRight w:val="0"/>
      <w:marTop w:val="0"/>
      <w:marBottom w:val="0"/>
      <w:divBdr>
        <w:top w:val="none" w:sz="0" w:space="0" w:color="auto"/>
        <w:left w:val="none" w:sz="0" w:space="0" w:color="auto"/>
        <w:bottom w:val="none" w:sz="0" w:space="0" w:color="auto"/>
        <w:right w:val="none" w:sz="0" w:space="0" w:color="auto"/>
      </w:divBdr>
    </w:div>
    <w:div w:id="77558881">
      <w:bodyDiv w:val="1"/>
      <w:marLeft w:val="0"/>
      <w:marRight w:val="0"/>
      <w:marTop w:val="0"/>
      <w:marBottom w:val="0"/>
      <w:divBdr>
        <w:top w:val="none" w:sz="0" w:space="0" w:color="auto"/>
        <w:left w:val="none" w:sz="0" w:space="0" w:color="auto"/>
        <w:bottom w:val="none" w:sz="0" w:space="0" w:color="auto"/>
        <w:right w:val="none" w:sz="0" w:space="0" w:color="auto"/>
      </w:divBdr>
      <w:divsChild>
        <w:div w:id="1387604745">
          <w:marLeft w:val="0"/>
          <w:marRight w:val="0"/>
          <w:marTop w:val="0"/>
          <w:marBottom w:val="0"/>
          <w:divBdr>
            <w:top w:val="none" w:sz="0" w:space="0" w:color="auto"/>
            <w:left w:val="none" w:sz="0" w:space="0" w:color="auto"/>
            <w:bottom w:val="none" w:sz="0" w:space="0" w:color="auto"/>
            <w:right w:val="none" w:sz="0" w:space="0" w:color="auto"/>
          </w:divBdr>
          <w:divsChild>
            <w:div w:id="630329908">
              <w:marLeft w:val="0"/>
              <w:marRight w:val="0"/>
              <w:marTop w:val="0"/>
              <w:marBottom w:val="0"/>
              <w:divBdr>
                <w:top w:val="none" w:sz="0" w:space="0" w:color="auto"/>
                <w:left w:val="none" w:sz="0" w:space="0" w:color="auto"/>
                <w:bottom w:val="none" w:sz="0" w:space="0" w:color="auto"/>
                <w:right w:val="none" w:sz="0" w:space="0" w:color="auto"/>
              </w:divBdr>
              <w:divsChild>
                <w:div w:id="1311251969">
                  <w:marLeft w:val="0"/>
                  <w:marRight w:val="0"/>
                  <w:marTop w:val="0"/>
                  <w:marBottom w:val="0"/>
                  <w:divBdr>
                    <w:top w:val="none" w:sz="0" w:space="0" w:color="auto"/>
                    <w:left w:val="none" w:sz="0" w:space="0" w:color="auto"/>
                    <w:bottom w:val="none" w:sz="0" w:space="0" w:color="auto"/>
                    <w:right w:val="none" w:sz="0" w:space="0" w:color="auto"/>
                  </w:divBdr>
                  <w:divsChild>
                    <w:div w:id="952518597">
                      <w:marLeft w:val="0"/>
                      <w:marRight w:val="0"/>
                      <w:marTop w:val="0"/>
                      <w:marBottom w:val="0"/>
                      <w:divBdr>
                        <w:top w:val="none" w:sz="0" w:space="0" w:color="auto"/>
                        <w:left w:val="none" w:sz="0" w:space="0" w:color="auto"/>
                        <w:bottom w:val="none" w:sz="0" w:space="0" w:color="auto"/>
                        <w:right w:val="none" w:sz="0" w:space="0" w:color="auto"/>
                      </w:divBdr>
                    </w:div>
                    <w:div w:id="181124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23217">
              <w:marLeft w:val="0"/>
              <w:marRight w:val="0"/>
              <w:marTop w:val="0"/>
              <w:marBottom w:val="0"/>
              <w:divBdr>
                <w:top w:val="none" w:sz="0" w:space="0" w:color="auto"/>
                <w:left w:val="none" w:sz="0" w:space="0" w:color="auto"/>
                <w:bottom w:val="none" w:sz="0" w:space="0" w:color="auto"/>
                <w:right w:val="none" w:sz="0" w:space="0" w:color="auto"/>
              </w:divBdr>
              <w:divsChild>
                <w:div w:id="2030789257">
                  <w:marLeft w:val="0"/>
                  <w:marRight w:val="0"/>
                  <w:marTop w:val="0"/>
                  <w:marBottom w:val="0"/>
                  <w:divBdr>
                    <w:top w:val="none" w:sz="0" w:space="0" w:color="auto"/>
                    <w:left w:val="none" w:sz="0" w:space="0" w:color="auto"/>
                    <w:bottom w:val="none" w:sz="0" w:space="0" w:color="auto"/>
                    <w:right w:val="none" w:sz="0" w:space="0" w:color="auto"/>
                  </w:divBdr>
                </w:div>
              </w:divsChild>
            </w:div>
            <w:div w:id="211493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837">
      <w:bodyDiv w:val="1"/>
      <w:marLeft w:val="0"/>
      <w:marRight w:val="0"/>
      <w:marTop w:val="0"/>
      <w:marBottom w:val="0"/>
      <w:divBdr>
        <w:top w:val="none" w:sz="0" w:space="0" w:color="auto"/>
        <w:left w:val="none" w:sz="0" w:space="0" w:color="auto"/>
        <w:bottom w:val="none" w:sz="0" w:space="0" w:color="auto"/>
        <w:right w:val="none" w:sz="0" w:space="0" w:color="auto"/>
      </w:divBdr>
    </w:div>
    <w:div w:id="85924714">
      <w:bodyDiv w:val="1"/>
      <w:marLeft w:val="0"/>
      <w:marRight w:val="0"/>
      <w:marTop w:val="0"/>
      <w:marBottom w:val="0"/>
      <w:divBdr>
        <w:top w:val="none" w:sz="0" w:space="0" w:color="auto"/>
        <w:left w:val="none" w:sz="0" w:space="0" w:color="auto"/>
        <w:bottom w:val="none" w:sz="0" w:space="0" w:color="auto"/>
        <w:right w:val="none" w:sz="0" w:space="0" w:color="auto"/>
      </w:divBdr>
    </w:div>
    <w:div w:id="86116074">
      <w:bodyDiv w:val="1"/>
      <w:marLeft w:val="0"/>
      <w:marRight w:val="0"/>
      <w:marTop w:val="0"/>
      <w:marBottom w:val="0"/>
      <w:divBdr>
        <w:top w:val="none" w:sz="0" w:space="0" w:color="auto"/>
        <w:left w:val="none" w:sz="0" w:space="0" w:color="auto"/>
        <w:bottom w:val="none" w:sz="0" w:space="0" w:color="auto"/>
        <w:right w:val="none" w:sz="0" w:space="0" w:color="auto"/>
      </w:divBdr>
    </w:div>
    <w:div w:id="92870718">
      <w:bodyDiv w:val="1"/>
      <w:marLeft w:val="0"/>
      <w:marRight w:val="0"/>
      <w:marTop w:val="0"/>
      <w:marBottom w:val="0"/>
      <w:divBdr>
        <w:top w:val="none" w:sz="0" w:space="0" w:color="auto"/>
        <w:left w:val="none" w:sz="0" w:space="0" w:color="auto"/>
        <w:bottom w:val="none" w:sz="0" w:space="0" w:color="auto"/>
        <w:right w:val="none" w:sz="0" w:space="0" w:color="auto"/>
      </w:divBdr>
      <w:divsChild>
        <w:div w:id="1568493857">
          <w:marLeft w:val="0"/>
          <w:marRight w:val="0"/>
          <w:marTop w:val="0"/>
          <w:marBottom w:val="0"/>
          <w:divBdr>
            <w:top w:val="none" w:sz="0" w:space="0" w:color="auto"/>
            <w:left w:val="none" w:sz="0" w:space="0" w:color="auto"/>
            <w:bottom w:val="none" w:sz="0" w:space="0" w:color="auto"/>
            <w:right w:val="none" w:sz="0" w:space="0" w:color="auto"/>
          </w:divBdr>
          <w:divsChild>
            <w:div w:id="168909796">
              <w:marLeft w:val="0"/>
              <w:marRight w:val="0"/>
              <w:marTop w:val="0"/>
              <w:marBottom w:val="0"/>
              <w:divBdr>
                <w:top w:val="none" w:sz="0" w:space="0" w:color="auto"/>
                <w:left w:val="none" w:sz="0" w:space="0" w:color="auto"/>
                <w:bottom w:val="none" w:sz="0" w:space="0" w:color="auto"/>
                <w:right w:val="none" w:sz="0" w:space="0" w:color="auto"/>
              </w:divBdr>
            </w:div>
          </w:divsChild>
        </w:div>
        <w:div w:id="375089074">
          <w:marLeft w:val="0"/>
          <w:marRight w:val="0"/>
          <w:marTop w:val="0"/>
          <w:marBottom w:val="0"/>
          <w:divBdr>
            <w:top w:val="none" w:sz="0" w:space="0" w:color="auto"/>
            <w:left w:val="none" w:sz="0" w:space="0" w:color="auto"/>
            <w:bottom w:val="none" w:sz="0" w:space="0" w:color="auto"/>
            <w:right w:val="none" w:sz="0" w:space="0" w:color="auto"/>
          </w:divBdr>
          <w:divsChild>
            <w:div w:id="83114796">
              <w:marLeft w:val="0"/>
              <w:marRight w:val="0"/>
              <w:marTop w:val="0"/>
              <w:marBottom w:val="0"/>
              <w:divBdr>
                <w:top w:val="none" w:sz="0" w:space="0" w:color="auto"/>
                <w:left w:val="none" w:sz="0" w:space="0" w:color="auto"/>
                <w:bottom w:val="none" w:sz="0" w:space="0" w:color="auto"/>
                <w:right w:val="none" w:sz="0" w:space="0" w:color="auto"/>
              </w:divBdr>
            </w:div>
          </w:divsChild>
        </w:div>
        <w:div w:id="1596665691">
          <w:marLeft w:val="0"/>
          <w:marRight w:val="0"/>
          <w:marTop w:val="0"/>
          <w:marBottom w:val="0"/>
          <w:divBdr>
            <w:top w:val="none" w:sz="0" w:space="0" w:color="auto"/>
            <w:left w:val="none" w:sz="0" w:space="0" w:color="auto"/>
            <w:bottom w:val="none" w:sz="0" w:space="0" w:color="auto"/>
            <w:right w:val="none" w:sz="0" w:space="0" w:color="auto"/>
          </w:divBdr>
          <w:divsChild>
            <w:div w:id="772214577">
              <w:marLeft w:val="0"/>
              <w:marRight w:val="0"/>
              <w:marTop w:val="0"/>
              <w:marBottom w:val="0"/>
              <w:divBdr>
                <w:top w:val="none" w:sz="0" w:space="0" w:color="auto"/>
                <w:left w:val="none" w:sz="0" w:space="0" w:color="auto"/>
                <w:bottom w:val="none" w:sz="0" w:space="0" w:color="auto"/>
                <w:right w:val="none" w:sz="0" w:space="0" w:color="auto"/>
              </w:divBdr>
            </w:div>
          </w:divsChild>
        </w:div>
        <w:div w:id="38407052">
          <w:marLeft w:val="0"/>
          <w:marRight w:val="0"/>
          <w:marTop w:val="0"/>
          <w:marBottom w:val="0"/>
          <w:divBdr>
            <w:top w:val="none" w:sz="0" w:space="0" w:color="auto"/>
            <w:left w:val="none" w:sz="0" w:space="0" w:color="auto"/>
            <w:bottom w:val="none" w:sz="0" w:space="0" w:color="auto"/>
            <w:right w:val="none" w:sz="0" w:space="0" w:color="auto"/>
          </w:divBdr>
          <w:divsChild>
            <w:div w:id="1595894771">
              <w:marLeft w:val="0"/>
              <w:marRight w:val="0"/>
              <w:marTop w:val="0"/>
              <w:marBottom w:val="0"/>
              <w:divBdr>
                <w:top w:val="none" w:sz="0" w:space="0" w:color="auto"/>
                <w:left w:val="none" w:sz="0" w:space="0" w:color="auto"/>
                <w:bottom w:val="none" w:sz="0" w:space="0" w:color="auto"/>
                <w:right w:val="none" w:sz="0" w:space="0" w:color="auto"/>
              </w:divBdr>
            </w:div>
            <w:div w:id="19337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166">
      <w:bodyDiv w:val="1"/>
      <w:marLeft w:val="0"/>
      <w:marRight w:val="0"/>
      <w:marTop w:val="0"/>
      <w:marBottom w:val="0"/>
      <w:divBdr>
        <w:top w:val="none" w:sz="0" w:space="0" w:color="auto"/>
        <w:left w:val="none" w:sz="0" w:space="0" w:color="auto"/>
        <w:bottom w:val="none" w:sz="0" w:space="0" w:color="auto"/>
        <w:right w:val="none" w:sz="0" w:space="0" w:color="auto"/>
      </w:divBdr>
    </w:div>
    <w:div w:id="94594674">
      <w:bodyDiv w:val="1"/>
      <w:marLeft w:val="0"/>
      <w:marRight w:val="0"/>
      <w:marTop w:val="0"/>
      <w:marBottom w:val="0"/>
      <w:divBdr>
        <w:top w:val="none" w:sz="0" w:space="0" w:color="auto"/>
        <w:left w:val="none" w:sz="0" w:space="0" w:color="auto"/>
        <w:bottom w:val="none" w:sz="0" w:space="0" w:color="auto"/>
        <w:right w:val="none" w:sz="0" w:space="0" w:color="auto"/>
      </w:divBdr>
      <w:divsChild>
        <w:div w:id="2020278615">
          <w:marLeft w:val="0"/>
          <w:marRight w:val="0"/>
          <w:marTop w:val="0"/>
          <w:marBottom w:val="0"/>
          <w:divBdr>
            <w:top w:val="none" w:sz="0" w:space="0" w:color="auto"/>
            <w:left w:val="none" w:sz="0" w:space="0" w:color="auto"/>
            <w:bottom w:val="none" w:sz="0" w:space="0" w:color="auto"/>
            <w:right w:val="none" w:sz="0" w:space="0" w:color="auto"/>
          </w:divBdr>
          <w:divsChild>
            <w:div w:id="6182265">
              <w:marLeft w:val="0"/>
              <w:marRight w:val="0"/>
              <w:marTop w:val="0"/>
              <w:marBottom w:val="0"/>
              <w:divBdr>
                <w:top w:val="none" w:sz="0" w:space="0" w:color="auto"/>
                <w:left w:val="none" w:sz="0" w:space="0" w:color="auto"/>
                <w:bottom w:val="none" w:sz="0" w:space="0" w:color="auto"/>
                <w:right w:val="none" w:sz="0" w:space="0" w:color="auto"/>
              </w:divBdr>
              <w:divsChild>
                <w:div w:id="898710512">
                  <w:marLeft w:val="0"/>
                  <w:marRight w:val="0"/>
                  <w:marTop w:val="0"/>
                  <w:marBottom w:val="0"/>
                  <w:divBdr>
                    <w:top w:val="none" w:sz="0" w:space="0" w:color="auto"/>
                    <w:left w:val="none" w:sz="0" w:space="0" w:color="auto"/>
                    <w:bottom w:val="none" w:sz="0" w:space="0" w:color="auto"/>
                    <w:right w:val="none" w:sz="0" w:space="0" w:color="auto"/>
                  </w:divBdr>
                  <w:divsChild>
                    <w:div w:id="214650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96489">
              <w:marLeft w:val="0"/>
              <w:marRight w:val="0"/>
              <w:marTop w:val="0"/>
              <w:marBottom w:val="0"/>
              <w:divBdr>
                <w:top w:val="none" w:sz="0" w:space="0" w:color="auto"/>
                <w:left w:val="none" w:sz="0" w:space="0" w:color="auto"/>
                <w:bottom w:val="none" w:sz="0" w:space="0" w:color="auto"/>
                <w:right w:val="none" w:sz="0" w:space="0" w:color="auto"/>
              </w:divBdr>
            </w:div>
          </w:divsChild>
        </w:div>
        <w:div w:id="1495143319">
          <w:marLeft w:val="0"/>
          <w:marRight w:val="0"/>
          <w:marTop w:val="0"/>
          <w:marBottom w:val="0"/>
          <w:divBdr>
            <w:top w:val="none" w:sz="0" w:space="0" w:color="auto"/>
            <w:left w:val="none" w:sz="0" w:space="0" w:color="auto"/>
            <w:bottom w:val="none" w:sz="0" w:space="0" w:color="auto"/>
            <w:right w:val="none" w:sz="0" w:space="0" w:color="auto"/>
          </w:divBdr>
          <w:divsChild>
            <w:div w:id="531767442">
              <w:marLeft w:val="0"/>
              <w:marRight w:val="0"/>
              <w:marTop w:val="0"/>
              <w:marBottom w:val="0"/>
              <w:divBdr>
                <w:top w:val="none" w:sz="0" w:space="0" w:color="auto"/>
                <w:left w:val="none" w:sz="0" w:space="0" w:color="auto"/>
                <w:bottom w:val="none" w:sz="0" w:space="0" w:color="auto"/>
                <w:right w:val="none" w:sz="0" w:space="0" w:color="auto"/>
              </w:divBdr>
              <w:divsChild>
                <w:div w:id="2046640927">
                  <w:marLeft w:val="0"/>
                  <w:marRight w:val="0"/>
                  <w:marTop w:val="0"/>
                  <w:marBottom w:val="0"/>
                  <w:divBdr>
                    <w:top w:val="none" w:sz="0" w:space="0" w:color="auto"/>
                    <w:left w:val="none" w:sz="0" w:space="0" w:color="auto"/>
                    <w:bottom w:val="none" w:sz="0" w:space="0" w:color="auto"/>
                    <w:right w:val="none" w:sz="0" w:space="0" w:color="auto"/>
                  </w:divBdr>
                  <w:divsChild>
                    <w:div w:id="5612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9227">
      <w:bodyDiv w:val="1"/>
      <w:marLeft w:val="0"/>
      <w:marRight w:val="0"/>
      <w:marTop w:val="0"/>
      <w:marBottom w:val="0"/>
      <w:divBdr>
        <w:top w:val="none" w:sz="0" w:space="0" w:color="auto"/>
        <w:left w:val="none" w:sz="0" w:space="0" w:color="auto"/>
        <w:bottom w:val="none" w:sz="0" w:space="0" w:color="auto"/>
        <w:right w:val="none" w:sz="0" w:space="0" w:color="auto"/>
      </w:divBdr>
      <w:divsChild>
        <w:div w:id="1944801693">
          <w:marLeft w:val="0"/>
          <w:marRight w:val="0"/>
          <w:marTop w:val="0"/>
          <w:marBottom w:val="0"/>
          <w:divBdr>
            <w:top w:val="none" w:sz="0" w:space="0" w:color="auto"/>
            <w:left w:val="none" w:sz="0" w:space="0" w:color="auto"/>
            <w:bottom w:val="none" w:sz="0" w:space="0" w:color="auto"/>
            <w:right w:val="none" w:sz="0" w:space="0" w:color="auto"/>
          </w:divBdr>
        </w:div>
      </w:divsChild>
    </w:div>
    <w:div w:id="104227603">
      <w:bodyDiv w:val="1"/>
      <w:marLeft w:val="0"/>
      <w:marRight w:val="0"/>
      <w:marTop w:val="0"/>
      <w:marBottom w:val="0"/>
      <w:divBdr>
        <w:top w:val="none" w:sz="0" w:space="0" w:color="auto"/>
        <w:left w:val="none" w:sz="0" w:space="0" w:color="auto"/>
        <w:bottom w:val="none" w:sz="0" w:space="0" w:color="auto"/>
        <w:right w:val="none" w:sz="0" w:space="0" w:color="auto"/>
      </w:divBdr>
    </w:div>
    <w:div w:id="108285930">
      <w:bodyDiv w:val="1"/>
      <w:marLeft w:val="0"/>
      <w:marRight w:val="0"/>
      <w:marTop w:val="0"/>
      <w:marBottom w:val="0"/>
      <w:divBdr>
        <w:top w:val="none" w:sz="0" w:space="0" w:color="auto"/>
        <w:left w:val="none" w:sz="0" w:space="0" w:color="auto"/>
        <w:bottom w:val="none" w:sz="0" w:space="0" w:color="auto"/>
        <w:right w:val="none" w:sz="0" w:space="0" w:color="auto"/>
      </w:divBdr>
    </w:div>
    <w:div w:id="116146234">
      <w:bodyDiv w:val="1"/>
      <w:marLeft w:val="0"/>
      <w:marRight w:val="0"/>
      <w:marTop w:val="0"/>
      <w:marBottom w:val="0"/>
      <w:divBdr>
        <w:top w:val="none" w:sz="0" w:space="0" w:color="auto"/>
        <w:left w:val="none" w:sz="0" w:space="0" w:color="auto"/>
        <w:bottom w:val="none" w:sz="0" w:space="0" w:color="auto"/>
        <w:right w:val="none" w:sz="0" w:space="0" w:color="auto"/>
      </w:divBdr>
    </w:div>
    <w:div w:id="120341793">
      <w:bodyDiv w:val="1"/>
      <w:marLeft w:val="0"/>
      <w:marRight w:val="0"/>
      <w:marTop w:val="0"/>
      <w:marBottom w:val="0"/>
      <w:divBdr>
        <w:top w:val="none" w:sz="0" w:space="0" w:color="auto"/>
        <w:left w:val="none" w:sz="0" w:space="0" w:color="auto"/>
        <w:bottom w:val="none" w:sz="0" w:space="0" w:color="auto"/>
        <w:right w:val="none" w:sz="0" w:space="0" w:color="auto"/>
      </w:divBdr>
    </w:div>
    <w:div w:id="122426011">
      <w:bodyDiv w:val="1"/>
      <w:marLeft w:val="0"/>
      <w:marRight w:val="0"/>
      <w:marTop w:val="0"/>
      <w:marBottom w:val="0"/>
      <w:divBdr>
        <w:top w:val="none" w:sz="0" w:space="0" w:color="auto"/>
        <w:left w:val="none" w:sz="0" w:space="0" w:color="auto"/>
        <w:bottom w:val="none" w:sz="0" w:space="0" w:color="auto"/>
        <w:right w:val="none" w:sz="0" w:space="0" w:color="auto"/>
      </w:divBdr>
    </w:div>
    <w:div w:id="125852686">
      <w:bodyDiv w:val="1"/>
      <w:marLeft w:val="0"/>
      <w:marRight w:val="0"/>
      <w:marTop w:val="0"/>
      <w:marBottom w:val="0"/>
      <w:divBdr>
        <w:top w:val="none" w:sz="0" w:space="0" w:color="auto"/>
        <w:left w:val="none" w:sz="0" w:space="0" w:color="auto"/>
        <w:bottom w:val="none" w:sz="0" w:space="0" w:color="auto"/>
        <w:right w:val="none" w:sz="0" w:space="0" w:color="auto"/>
      </w:divBdr>
    </w:div>
    <w:div w:id="126633467">
      <w:bodyDiv w:val="1"/>
      <w:marLeft w:val="0"/>
      <w:marRight w:val="0"/>
      <w:marTop w:val="0"/>
      <w:marBottom w:val="0"/>
      <w:divBdr>
        <w:top w:val="none" w:sz="0" w:space="0" w:color="auto"/>
        <w:left w:val="none" w:sz="0" w:space="0" w:color="auto"/>
        <w:bottom w:val="none" w:sz="0" w:space="0" w:color="auto"/>
        <w:right w:val="none" w:sz="0" w:space="0" w:color="auto"/>
      </w:divBdr>
    </w:div>
    <w:div w:id="140734561">
      <w:bodyDiv w:val="1"/>
      <w:marLeft w:val="0"/>
      <w:marRight w:val="0"/>
      <w:marTop w:val="0"/>
      <w:marBottom w:val="0"/>
      <w:divBdr>
        <w:top w:val="none" w:sz="0" w:space="0" w:color="auto"/>
        <w:left w:val="none" w:sz="0" w:space="0" w:color="auto"/>
        <w:bottom w:val="none" w:sz="0" w:space="0" w:color="auto"/>
        <w:right w:val="none" w:sz="0" w:space="0" w:color="auto"/>
      </w:divBdr>
    </w:div>
    <w:div w:id="147795340">
      <w:bodyDiv w:val="1"/>
      <w:marLeft w:val="0"/>
      <w:marRight w:val="0"/>
      <w:marTop w:val="0"/>
      <w:marBottom w:val="0"/>
      <w:divBdr>
        <w:top w:val="none" w:sz="0" w:space="0" w:color="auto"/>
        <w:left w:val="none" w:sz="0" w:space="0" w:color="auto"/>
        <w:bottom w:val="none" w:sz="0" w:space="0" w:color="auto"/>
        <w:right w:val="none" w:sz="0" w:space="0" w:color="auto"/>
      </w:divBdr>
    </w:div>
    <w:div w:id="149181343">
      <w:bodyDiv w:val="1"/>
      <w:marLeft w:val="0"/>
      <w:marRight w:val="0"/>
      <w:marTop w:val="0"/>
      <w:marBottom w:val="0"/>
      <w:divBdr>
        <w:top w:val="none" w:sz="0" w:space="0" w:color="auto"/>
        <w:left w:val="none" w:sz="0" w:space="0" w:color="auto"/>
        <w:bottom w:val="none" w:sz="0" w:space="0" w:color="auto"/>
        <w:right w:val="none" w:sz="0" w:space="0" w:color="auto"/>
      </w:divBdr>
    </w:div>
    <w:div w:id="161044077">
      <w:bodyDiv w:val="1"/>
      <w:marLeft w:val="0"/>
      <w:marRight w:val="0"/>
      <w:marTop w:val="0"/>
      <w:marBottom w:val="0"/>
      <w:divBdr>
        <w:top w:val="none" w:sz="0" w:space="0" w:color="auto"/>
        <w:left w:val="none" w:sz="0" w:space="0" w:color="auto"/>
        <w:bottom w:val="none" w:sz="0" w:space="0" w:color="auto"/>
        <w:right w:val="none" w:sz="0" w:space="0" w:color="auto"/>
      </w:divBdr>
    </w:div>
    <w:div w:id="161429810">
      <w:bodyDiv w:val="1"/>
      <w:marLeft w:val="0"/>
      <w:marRight w:val="0"/>
      <w:marTop w:val="0"/>
      <w:marBottom w:val="0"/>
      <w:divBdr>
        <w:top w:val="none" w:sz="0" w:space="0" w:color="auto"/>
        <w:left w:val="none" w:sz="0" w:space="0" w:color="auto"/>
        <w:bottom w:val="none" w:sz="0" w:space="0" w:color="auto"/>
        <w:right w:val="none" w:sz="0" w:space="0" w:color="auto"/>
      </w:divBdr>
    </w:div>
    <w:div w:id="169416128">
      <w:bodyDiv w:val="1"/>
      <w:marLeft w:val="0"/>
      <w:marRight w:val="0"/>
      <w:marTop w:val="0"/>
      <w:marBottom w:val="0"/>
      <w:divBdr>
        <w:top w:val="none" w:sz="0" w:space="0" w:color="auto"/>
        <w:left w:val="none" w:sz="0" w:space="0" w:color="auto"/>
        <w:bottom w:val="none" w:sz="0" w:space="0" w:color="auto"/>
        <w:right w:val="none" w:sz="0" w:space="0" w:color="auto"/>
      </w:divBdr>
    </w:div>
    <w:div w:id="170728662">
      <w:bodyDiv w:val="1"/>
      <w:marLeft w:val="0"/>
      <w:marRight w:val="0"/>
      <w:marTop w:val="0"/>
      <w:marBottom w:val="0"/>
      <w:divBdr>
        <w:top w:val="none" w:sz="0" w:space="0" w:color="auto"/>
        <w:left w:val="none" w:sz="0" w:space="0" w:color="auto"/>
        <w:bottom w:val="none" w:sz="0" w:space="0" w:color="auto"/>
        <w:right w:val="none" w:sz="0" w:space="0" w:color="auto"/>
      </w:divBdr>
    </w:div>
    <w:div w:id="172842529">
      <w:bodyDiv w:val="1"/>
      <w:marLeft w:val="0"/>
      <w:marRight w:val="0"/>
      <w:marTop w:val="0"/>
      <w:marBottom w:val="0"/>
      <w:divBdr>
        <w:top w:val="none" w:sz="0" w:space="0" w:color="auto"/>
        <w:left w:val="none" w:sz="0" w:space="0" w:color="auto"/>
        <w:bottom w:val="none" w:sz="0" w:space="0" w:color="auto"/>
        <w:right w:val="none" w:sz="0" w:space="0" w:color="auto"/>
      </w:divBdr>
    </w:div>
    <w:div w:id="172842639">
      <w:bodyDiv w:val="1"/>
      <w:marLeft w:val="0"/>
      <w:marRight w:val="0"/>
      <w:marTop w:val="0"/>
      <w:marBottom w:val="0"/>
      <w:divBdr>
        <w:top w:val="none" w:sz="0" w:space="0" w:color="auto"/>
        <w:left w:val="none" w:sz="0" w:space="0" w:color="auto"/>
        <w:bottom w:val="none" w:sz="0" w:space="0" w:color="auto"/>
        <w:right w:val="none" w:sz="0" w:space="0" w:color="auto"/>
      </w:divBdr>
    </w:div>
    <w:div w:id="178547260">
      <w:bodyDiv w:val="1"/>
      <w:marLeft w:val="0"/>
      <w:marRight w:val="0"/>
      <w:marTop w:val="0"/>
      <w:marBottom w:val="0"/>
      <w:divBdr>
        <w:top w:val="none" w:sz="0" w:space="0" w:color="auto"/>
        <w:left w:val="none" w:sz="0" w:space="0" w:color="auto"/>
        <w:bottom w:val="none" w:sz="0" w:space="0" w:color="auto"/>
        <w:right w:val="none" w:sz="0" w:space="0" w:color="auto"/>
      </w:divBdr>
    </w:div>
    <w:div w:id="179201250">
      <w:bodyDiv w:val="1"/>
      <w:marLeft w:val="0"/>
      <w:marRight w:val="0"/>
      <w:marTop w:val="0"/>
      <w:marBottom w:val="0"/>
      <w:divBdr>
        <w:top w:val="none" w:sz="0" w:space="0" w:color="auto"/>
        <w:left w:val="none" w:sz="0" w:space="0" w:color="auto"/>
        <w:bottom w:val="none" w:sz="0" w:space="0" w:color="auto"/>
        <w:right w:val="none" w:sz="0" w:space="0" w:color="auto"/>
      </w:divBdr>
      <w:divsChild>
        <w:div w:id="1356998509">
          <w:marLeft w:val="0"/>
          <w:marRight w:val="0"/>
          <w:marTop w:val="0"/>
          <w:marBottom w:val="0"/>
          <w:divBdr>
            <w:top w:val="none" w:sz="0" w:space="0" w:color="auto"/>
            <w:left w:val="none" w:sz="0" w:space="0" w:color="auto"/>
            <w:bottom w:val="none" w:sz="0" w:space="0" w:color="auto"/>
            <w:right w:val="none" w:sz="0" w:space="0" w:color="auto"/>
          </w:divBdr>
        </w:div>
        <w:div w:id="1995185236">
          <w:marLeft w:val="0"/>
          <w:marRight w:val="0"/>
          <w:marTop w:val="0"/>
          <w:marBottom w:val="0"/>
          <w:divBdr>
            <w:top w:val="none" w:sz="0" w:space="0" w:color="auto"/>
            <w:left w:val="none" w:sz="0" w:space="0" w:color="auto"/>
            <w:bottom w:val="none" w:sz="0" w:space="0" w:color="auto"/>
            <w:right w:val="none" w:sz="0" w:space="0" w:color="auto"/>
          </w:divBdr>
        </w:div>
      </w:divsChild>
    </w:div>
    <w:div w:id="179662021">
      <w:bodyDiv w:val="1"/>
      <w:marLeft w:val="0"/>
      <w:marRight w:val="0"/>
      <w:marTop w:val="0"/>
      <w:marBottom w:val="0"/>
      <w:divBdr>
        <w:top w:val="none" w:sz="0" w:space="0" w:color="auto"/>
        <w:left w:val="none" w:sz="0" w:space="0" w:color="auto"/>
        <w:bottom w:val="none" w:sz="0" w:space="0" w:color="auto"/>
        <w:right w:val="none" w:sz="0" w:space="0" w:color="auto"/>
      </w:divBdr>
    </w:div>
    <w:div w:id="180124016">
      <w:bodyDiv w:val="1"/>
      <w:marLeft w:val="0"/>
      <w:marRight w:val="0"/>
      <w:marTop w:val="0"/>
      <w:marBottom w:val="0"/>
      <w:divBdr>
        <w:top w:val="none" w:sz="0" w:space="0" w:color="auto"/>
        <w:left w:val="none" w:sz="0" w:space="0" w:color="auto"/>
        <w:bottom w:val="none" w:sz="0" w:space="0" w:color="auto"/>
        <w:right w:val="none" w:sz="0" w:space="0" w:color="auto"/>
      </w:divBdr>
      <w:divsChild>
        <w:div w:id="1560478600">
          <w:marLeft w:val="0"/>
          <w:marRight w:val="0"/>
          <w:marTop w:val="0"/>
          <w:marBottom w:val="0"/>
          <w:divBdr>
            <w:top w:val="none" w:sz="0" w:space="0" w:color="auto"/>
            <w:left w:val="none" w:sz="0" w:space="0" w:color="auto"/>
            <w:bottom w:val="none" w:sz="0" w:space="0" w:color="auto"/>
            <w:right w:val="none" w:sz="0" w:space="0" w:color="auto"/>
          </w:divBdr>
        </w:div>
      </w:divsChild>
    </w:div>
    <w:div w:id="199057463">
      <w:bodyDiv w:val="1"/>
      <w:marLeft w:val="0"/>
      <w:marRight w:val="0"/>
      <w:marTop w:val="0"/>
      <w:marBottom w:val="0"/>
      <w:divBdr>
        <w:top w:val="none" w:sz="0" w:space="0" w:color="auto"/>
        <w:left w:val="none" w:sz="0" w:space="0" w:color="auto"/>
        <w:bottom w:val="none" w:sz="0" w:space="0" w:color="auto"/>
        <w:right w:val="none" w:sz="0" w:space="0" w:color="auto"/>
      </w:divBdr>
    </w:div>
    <w:div w:id="207305781">
      <w:bodyDiv w:val="1"/>
      <w:marLeft w:val="0"/>
      <w:marRight w:val="0"/>
      <w:marTop w:val="0"/>
      <w:marBottom w:val="0"/>
      <w:divBdr>
        <w:top w:val="none" w:sz="0" w:space="0" w:color="auto"/>
        <w:left w:val="none" w:sz="0" w:space="0" w:color="auto"/>
        <w:bottom w:val="none" w:sz="0" w:space="0" w:color="auto"/>
        <w:right w:val="none" w:sz="0" w:space="0" w:color="auto"/>
      </w:divBdr>
      <w:divsChild>
        <w:div w:id="212809262">
          <w:marLeft w:val="0"/>
          <w:marRight w:val="0"/>
          <w:marTop w:val="0"/>
          <w:marBottom w:val="0"/>
          <w:divBdr>
            <w:top w:val="none" w:sz="0" w:space="0" w:color="auto"/>
            <w:left w:val="none" w:sz="0" w:space="0" w:color="auto"/>
            <w:bottom w:val="none" w:sz="0" w:space="0" w:color="auto"/>
            <w:right w:val="none" w:sz="0" w:space="0" w:color="auto"/>
          </w:divBdr>
          <w:divsChild>
            <w:div w:id="2045640707">
              <w:marLeft w:val="0"/>
              <w:marRight w:val="0"/>
              <w:marTop w:val="0"/>
              <w:marBottom w:val="0"/>
              <w:divBdr>
                <w:top w:val="none" w:sz="0" w:space="0" w:color="auto"/>
                <w:left w:val="none" w:sz="0" w:space="0" w:color="auto"/>
                <w:bottom w:val="none" w:sz="0" w:space="0" w:color="auto"/>
                <w:right w:val="none" w:sz="0" w:space="0" w:color="auto"/>
              </w:divBdr>
              <w:divsChild>
                <w:div w:id="618606053">
                  <w:marLeft w:val="0"/>
                  <w:marRight w:val="0"/>
                  <w:marTop w:val="0"/>
                  <w:marBottom w:val="0"/>
                  <w:divBdr>
                    <w:top w:val="none" w:sz="0" w:space="0" w:color="auto"/>
                    <w:left w:val="none" w:sz="0" w:space="0" w:color="auto"/>
                    <w:bottom w:val="none" w:sz="0" w:space="0" w:color="auto"/>
                    <w:right w:val="none" w:sz="0" w:space="0" w:color="auto"/>
                  </w:divBdr>
                  <w:divsChild>
                    <w:div w:id="1615210650">
                      <w:marLeft w:val="0"/>
                      <w:marRight w:val="0"/>
                      <w:marTop w:val="0"/>
                      <w:marBottom w:val="0"/>
                      <w:divBdr>
                        <w:top w:val="none" w:sz="0" w:space="0" w:color="auto"/>
                        <w:left w:val="none" w:sz="0" w:space="0" w:color="auto"/>
                        <w:bottom w:val="none" w:sz="0" w:space="0" w:color="auto"/>
                        <w:right w:val="none" w:sz="0" w:space="0" w:color="auto"/>
                      </w:divBdr>
                    </w:div>
                  </w:divsChild>
                </w:div>
                <w:div w:id="1131749361">
                  <w:marLeft w:val="0"/>
                  <w:marRight w:val="0"/>
                  <w:marTop w:val="0"/>
                  <w:marBottom w:val="0"/>
                  <w:divBdr>
                    <w:top w:val="none" w:sz="0" w:space="0" w:color="auto"/>
                    <w:left w:val="none" w:sz="0" w:space="0" w:color="auto"/>
                    <w:bottom w:val="none" w:sz="0" w:space="0" w:color="auto"/>
                    <w:right w:val="none" w:sz="0" w:space="0" w:color="auto"/>
                  </w:divBdr>
                  <w:divsChild>
                    <w:div w:id="1218856970">
                      <w:marLeft w:val="0"/>
                      <w:marRight w:val="0"/>
                      <w:marTop w:val="0"/>
                      <w:marBottom w:val="0"/>
                      <w:divBdr>
                        <w:top w:val="none" w:sz="0" w:space="0" w:color="auto"/>
                        <w:left w:val="none" w:sz="0" w:space="0" w:color="auto"/>
                        <w:bottom w:val="none" w:sz="0" w:space="0" w:color="auto"/>
                        <w:right w:val="none" w:sz="0" w:space="0" w:color="auto"/>
                      </w:divBdr>
                    </w:div>
                    <w:div w:id="13726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21635">
          <w:marLeft w:val="0"/>
          <w:marRight w:val="0"/>
          <w:marTop w:val="0"/>
          <w:marBottom w:val="0"/>
          <w:divBdr>
            <w:top w:val="none" w:sz="0" w:space="0" w:color="auto"/>
            <w:left w:val="none" w:sz="0" w:space="0" w:color="auto"/>
            <w:bottom w:val="none" w:sz="0" w:space="0" w:color="auto"/>
            <w:right w:val="none" w:sz="0" w:space="0" w:color="auto"/>
          </w:divBdr>
          <w:divsChild>
            <w:div w:id="838039868">
              <w:marLeft w:val="0"/>
              <w:marRight w:val="0"/>
              <w:marTop w:val="0"/>
              <w:marBottom w:val="0"/>
              <w:divBdr>
                <w:top w:val="none" w:sz="0" w:space="0" w:color="auto"/>
                <w:left w:val="none" w:sz="0" w:space="0" w:color="auto"/>
                <w:bottom w:val="none" w:sz="0" w:space="0" w:color="auto"/>
                <w:right w:val="none" w:sz="0" w:space="0" w:color="auto"/>
              </w:divBdr>
              <w:divsChild>
                <w:div w:id="27999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8641">
      <w:bodyDiv w:val="1"/>
      <w:marLeft w:val="0"/>
      <w:marRight w:val="0"/>
      <w:marTop w:val="0"/>
      <w:marBottom w:val="0"/>
      <w:divBdr>
        <w:top w:val="none" w:sz="0" w:space="0" w:color="auto"/>
        <w:left w:val="none" w:sz="0" w:space="0" w:color="auto"/>
        <w:bottom w:val="none" w:sz="0" w:space="0" w:color="auto"/>
        <w:right w:val="none" w:sz="0" w:space="0" w:color="auto"/>
      </w:divBdr>
    </w:div>
    <w:div w:id="210044972">
      <w:bodyDiv w:val="1"/>
      <w:marLeft w:val="0"/>
      <w:marRight w:val="0"/>
      <w:marTop w:val="0"/>
      <w:marBottom w:val="0"/>
      <w:divBdr>
        <w:top w:val="none" w:sz="0" w:space="0" w:color="auto"/>
        <w:left w:val="none" w:sz="0" w:space="0" w:color="auto"/>
        <w:bottom w:val="none" w:sz="0" w:space="0" w:color="auto"/>
        <w:right w:val="none" w:sz="0" w:space="0" w:color="auto"/>
      </w:divBdr>
    </w:div>
    <w:div w:id="211380581">
      <w:bodyDiv w:val="1"/>
      <w:marLeft w:val="0"/>
      <w:marRight w:val="0"/>
      <w:marTop w:val="0"/>
      <w:marBottom w:val="0"/>
      <w:divBdr>
        <w:top w:val="none" w:sz="0" w:space="0" w:color="auto"/>
        <w:left w:val="none" w:sz="0" w:space="0" w:color="auto"/>
        <w:bottom w:val="none" w:sz="0" w:space="0" w:color="auto"/>
        <w:right w:val="none" w:sz="0" w:space="0" w:color="auto"/>
      </w:divBdr>
    </w:div>
    <w:div w:id="212546926">
      <w:bodyDiv w:val="1"/>
      <w:marLeft w:val="0"/>
      <w:marRight w:val="0"/>
      <w:marTop w:val="0"/>
      <w:marBottom w:val="0"/>
      <w:divBdr>
        <w:top w:val="none" w:sz="0" w:space="0" w:color="auto"/>
        <w:left w:val="none" w:sz="0" w:space="0" w:color="auto"/>
        <w:bottom w:val="none" w:sz="0" w:space="0" w:color="auto"/>
        <w:right w:val="none" w:sz="0" w:space="0" w:color="auto"/>
      </w:divBdr>
    </w:div>
    <w:div w:id="219286637">
      <w:bodyDiv w:val="1"/>
      <w:marLeft w:val="0"/>
      <w:marRight w:val="0"/>
      <w:marTop w:val="0"/>
      <w:marBottom w:val="0"/>
      <w:divBdr>
        <w:top w:val="none" w:sz="0" w:space="0" w:color="auto"/>
        <w:left w:val="none" w:sz="0" w:space="0" w:color="auto"/>
        <w:bottom w:val="none" w:sz="0" w:space="0" w:color="auto"/>
        <w:right w:val="none" w:sz="0" w:space="0" w:color="auto"/>
      </w:divBdr>
    </w:div>
    <w:div w:id="221718227">
      <w:bodyDiv w:val="1"/>
      <w:marLeft w:val="0"/>
      <w:marRight w:val="0"/>
      <w:marTop w:val="0"/>
      <w:marBottom w:val="0"/>
      <w:divBdr>
        <w:top w:val="none" w:sz="0" w:space="0" w:color="auto"/>
        <w:left w:val="none" w:sz="0" w:space="0" w:color="auto"/>
        <w:bottom w:val="none" w:sz="0" w:space="0" w:color="auto"/>
        <w:right w:val="none" w:sz="0" w:space="0" w:color="auto"/>
      </w:divBdr>
      <w:divsChild>
        <w:div w:id="552153061">
          <w:marLeft w:val="0"/>
          <w:marRight w:val="0"/>
          <w:marTop w:val="0"/>
          <w:marBottom w:val="0"/>
          <w:divBdr>
            <w:top w:val="none" w:sz="0" w:space="0" w:color="auto"/>
            <w:left w:val="none" w:sz="0" w:space="0" w:color="auto"/>
            <w:bottom w:val="none" w:sz="0" w:space="0" w:color="auto"/>
            <w:right w:val="none" w:sz="0" w:space="0" w:color="auto"/>
          </w:divBdr>
        </w:div>
        <w:div w:id="731345878">
          <w:marLeft w:val="0"/>
          <w:marRight w:val="0"/>
          <w:marTop w:val="0"/>
          <w:marBottom w:val="0"/>
          <w:divBdr>
            <w:top w:val="none" w:sz="0" w:space="0" w:color="auto"/>
            <w:left w:val="none" w:sz="0" w:space="0" w:color="auto"/>
            <w:bottom w:val="none" w:sz="0" w:space="0" w:color="auto"/>
            <w:right w:val="none" w:sz="0" w:space="0" w:color="auto"/>
          </w:divBdr>
        </w:div>
        <w:div w:id="1970276951">
          <w:marLeft w:val="0"/>
          <w:marRight w:val="0"/>
          <w:marTop w:val="0"/>
          <w:marBottom w:val="0"/>
          <w:divBdr>
            <w:top w:val="none" w:sz="0" w:space="0" w:color="auto"/>
            <w:left w:val="none" w:sz="0" w:space="0" w:color="auto"/>
            <w:bottom w:val="none" w:sz="0" w:space="0" w:color="auto"/>
            <w:right w:val="none" w:sz="0" w:space="0" w:color="auto"/>
          </w:divBdr>
        </w:div>
      </w:divsChild>
    </w:div>
    <w:div w:id="226305291">
      <w:bodyDiv w:val="1"/>
      <w:marLeft w:val="0"/>
      <w:marRight w:val="0"/>
      <w:marTop w:val="0"/>
      <w:marBottom w:val="0"/>
      <w:divBdr>
        <w:top w:val="none" w:sz="0" w:space="0" w:color="auto"/>
        <w:left w:val="none" w:sz="0" w:space="0" w:color="auto"/>
        <w:bottom w:val="none" w:sz="0" w:space="0" w:color="auto"/>
        <w:right w:val="none" w:sz="0" w:space="0" w:color="auto"/>
      </w:divBdr>
    </w:div>
    <w:div w:id="226769880">
      <w:bodyDiv w:val="1"/>
      <w:marLeft w:val="0"/>
      <w:marRight w:val="0"/>
      <w:marTop w:val="0"/>
      <w:marBottom w:val="0"/>
      <w:divBdr>
        <w:top w:val="none" w:sz="0" w:space="0" w:color="auto"/>
        <w:left w:val="none" w:sz="0" w:space="0" w:color="auto"/>
        <w:bottom w:val="none" w:sz="0" w:space="0" w:color="auto"/>
        <w:right w:val="none" w:sz="0" w:space="0" w:color="auto"/>
      </w:divBdr>
    </w:div>
    <w:div w:id="231308325">
      <w:bodyDiv w:val="1"/>
      <w:marLeft w:val="0"/>
      <w:marRight w:val="0"/>
      <w:marTop w:val="0"/>
      <w:marBottom w:val="0"/>
      <w:divBdr>
        <w:top w:val="none" w:sz="0" w:space="0" w:color="auto"/>
        <w:left w:val="none" w:sz="0" w:space="0" w:color="auto"/>
        <w:bottom w:val="none" w:sz="0" w:space="0" w:color="auto"/>
        <w:right w:val="none" w:sz="0" w:space="0" w:color="auto"/>
      </w:divBdr>
      <w:divsChild>
        <w:div w:id="433210807">
          <w:marLeft w:val="0"/>
          <w:marRight w:val="0"/>
          <w:marTop w:val="600"/>
          <w:marBottom w:val="600"/>
          <w:divBdr>
            <w:top w:val="single" w:sz="12" w:space="30" w:color="304EBB"/>
            <w:left w:val="single" w:sz="12" w:space="30" w:color="304EBB"/>
            <w:bottom w:val="single" w:sz="12" w:space="30" w:color="304EBB"/>
            <w:right w:val="single" w:sz="12" w:space="30" w:color="304EBB"/>
          </w:divBdr>
        </w:div>
      </w:divsChild>
    </w:div>
    <w:div w:id="232785703">
      <w:bodyDiv w:val="1"/>
      <w:marLeft w:val="0"/>
      <w:marRight w:val="0"/>
      <w:marTop w:val="0"/>
      <w:marBottom w:val="0"/>
      <w:divBdr>
        <w:top w:val="none" w:sz="0" w:space="0" w:color="auto"/>
        <w:left w:val="none" w:sz="0" w:space="0" w:color="auto"/>
        <w:bottom w:val="none" w:sz="0" w:space="0" w:color="auto"/>
        <w:right w:val="none" w:sz="0" w:space="0" w:color="auto"/>
      </w:divBdr>
      <w:divsChild>
        <w:div w:id="1463498688">
          <w:marLeft w:val="0"/>
          <w:marRight w:val="0"/>
          <w:marTop w:val="0"/>
          <w:marBottom w:val="0"/>
          <w:divBdr>
            <w:top w:val="none" w:sz="0" w:space="0" w:color="auto"/>
            <w:left w:val="none" w:sz="0" w:space="0" w:color="auto"/>
            <w:bottom w:val="none" w:sz="0" w:space="0" w:color="auto"/>
            <w:right w:val="none" w:sz="0" w:space="0" w:color="auto"/>
          </w:divBdr>
          <w:divsChild>
            <w:div w:id="1602492817">
              <w:marLeft w:val="0"/>
              <w:marRight w:val="0"/>
              <w:marTop w:val="0"/>
              <w:marBottom w:val="0"/>
              <w:divBdr>
                <w:top w:val="none" w:sz="0" w:space="0" w:color="auto"/>
                <w:left w:val="none" w:sz="0" w:space="0" w:color="auto"/>
                <w:bottom w:val="none" w:sz="0" w:space="0" w:color="auto"/>
                <w:right w:val="none" w:sz="0" w:space="0" w:color="auto"/>
              </w:divBdr>
            </w:div>
          </w:divsChild>
        </w:div>
        <w:div w:id="1911574507">
          <w:marLeft w:val="0"/>
          <w:marRight w:val="0"/>
          <w:marTop w:val="0"/>
          <w:marBottom w:val="0"/>
          <w:divBdr>
            <w:top w:val="none" w:sz="0" w:space="0" w:color="auto"/>
            <w:left w:val="none" w:sz="0" w:space="0" w:color="auto"/>
            <w:bottom w:val="none" w:sz="0" w:space="0" w:color="auto"/>
            <w:right w:val="none" w:sz="0" w:space="0" w:color="auto"/>
          </w:divBdr>
          <w:divsChild>
            <w:div w:id="12370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55762">
      <w:bodyDiv w:val="1"/>
      <w:marLeft w:val="0"/>
      <w:marRight w:val="0"/>
      <w:marTop w:val="0"/>
      <w:marBottom w:val="0"/>
      <w:divBdr>
        <w:top w:val="none" w:sz="0" w:space="0" w:color="auto"/>
        <w:left w:val="none" w:sz="0" w:space="0" w:color="auto"/>
        <w:bottom w:val="none" w:sz="0" w:space="0" w:color="auto"/>
        <w:right w:val="none" w:sz="0" w:space="0" w:color="auto"/>
      </w:divBdr>
    </w:div>
    <w:div w:id="242297849">
      <w:bodyDiv w:val="1"/>
      <w:marLeft w:val="0"/>
      <w:marRight w:val="0"/>
      <w:marTop w:val="0"/>
      <w:marBottom w:val="0"/>
      <w:divBdr>
        <w:top w:val="none" w:sz="0" w:space="0" w:color="auto"/>
        <w:left w:val="none" w:sz="0" w:space="0" w:color="auto"/>
        <w:bottom w:val="none" w:sz="0" w:space="0" w:color="auto"/>
        <w:right w:val="none" w:sz="0" w:space="0" w:color="auto"/>
      </w:divBdr>
    </w:div>
    <w:div w:id="247352994">
      <w:bodyDiv w:val="1"/>
      <w:marLeft w:val="0"/>
      <w:marRight w:val="0"/>
      <w:marTop w:val="0"/>
      <w:marBottom w:val="0"/>
      <w:divBdr>
        <w:top w:val="none" w:sz="0" w:space="0" w:color="auto"/>
        <w:left w:val="none" w:sz="0" w:space="0" w:color="auto"/>
        <w:bottom w:val="none" w:sz="0" w:space="0" w:color="auto"/>
        <w:right w:val="none" w:sz="0" w:space="0" w:color="auto"/>
      </w:divBdr>
      <w:divsChild>
        <w:div w:id="857238032">
          <w:marLeft w:val="0"/>
          <w:marRight w:val="0"/>
          <w:marTop w:val="0"/>
          <w:marBottom w:val="0"/>
          <w:divBdr>
            <w:top w:val="none" w:sz="0" w:space="0" w:color="auto"/>
            <w:left w:val="none" w:sz="0" w:space="0" w:color="auto"/>
            <w:bottom w:val="none" w:sz="0" w:space="0" w:color="auto"/>
            <w:right w:val="none" w:sz="0" w:space="0" w:color="auto"/>
          </w:divBdr>
          <w:divsChild>
            <w:div w:id="1504975104">
              <w:marLeft w:val="0"/>
              <w:marRight w:val="0"/>
              <w:marTop w:val="0"/>
              <w:marBottom w:val="0"/>
              <w:divBdr>
                <w:top w:val="none" w:sz="0" w:space="0" w:color="auto"/>
                <w:left w:val="none" w:sz="0" w:space="0" w:color="auto"/>
                <w:bottom w:val="none" w:sz="0" w:space="0" w:color="auto"/>
                <w:right w:val="none" w:sz="0" w:space="0" w:color="auto"/>
              </w:divBdr>
              <w:divsChild>
                <w:div w:id="85334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246730">
      <w:bodyDiv w:val="1"/>
      <w:marLeft w:val="0"/>
      <w:marRight w:val="0"/>
      <w:marTop w:val="0"/>
      <w:marBottom w:val="0"/>
      <w:divBdr>
        <w:top w:val="none" w:sz="0" w:space="0" w:color="auto"/>
        <w:left w:val="none" w:sz="0" w:space="0" w:color="auto"/>
        <w:bottom w:val="none" w:sz="0" w:space="0" w:color="auto"/>
        <w:right w:val="none" w:sz="0" w:space="0" w:color="auto"/>
      </w:divBdr>
    </w:div>
    <w:div w:id="254898068">
      <w:bodyDiv w:val="1"/>
      <w:marLeft w:val="0"/>
      <w:marRight w:val="0"/>
      <w:marTop w:val="0"/>
      <w:marBottom w:val="0"/>
      <w:divBdr>
        <w:top w:val="none" w:sz="0" w:space="0" w:color="auto"/>
        <w:left w:val="none" w:sz="0" w:space="0" w:color="auto"/>
        <w:bottom w:val="none" w:sz="0" w:space="0" w:color="auto"/>
        <w:right w:val="none" w:sz="0" w:space="0" w:color="auto"/>
      </w:divBdr>
    </w:div>
    <w:div w:id="257834294">
      <w:bodyDiv w:val="1"/>
      <w:marLeft w:val="0"/>
      <w:marRight w:val="0"/>
      <w:marTop w:val="0"/>
      <w:marBottom w:val="0"/>
      <w:divBdr>
        <w:top w:val="none" w:sz="0" w:space="0" w:color="auto"/>
        <w:left w:val="none" w:sz="0" w:space="0" w:color="auto"/>
        <w:bottom w:val="none" w:sz="0" w:space="0" w:color="auto"/>
        <w:right w:val="none" w:sz="0" w:space="0" w:color="auto"/>
      </w:divBdr>
    </w:div>
    <w:div w:id="269748193">
      <w:bodyDiv w:val="1"/>
      <w:marLeft w:val="0"/>
      <w:marRight w:val="0"/>
      <w:marTop w:val="0"/>
      <w:marBottom w:val="0"/>
      <w:divBdr>
        <w:top w:val="none" w:sz="0" w:space="0" w:color="auto"/>
        <w:left w:val="none" w:sz="0" w:space="0" w:color="auto"/>
        <w:bottom w:val="none" w:sz="0" w:space="0" w:color="auto"/>
        <w:right w:val="none" w:sz="0" w:space="0" w:color="auto"/>
      </w:divBdr>
    </w:div>
    <w:div w:id="272908797">
      <w:bodyDiv w:val="1"/>
      <w:marLeft w:val="0"/>
      <w:marRight w:val="0"/>
      <w:marTop w:val="0"/>
      <w:marBottom w:val="0"/>
      <w:divBdr>
        <w:top w:val="none" w:sz="0" w:space="0" w:color="auto"/>
        <w:left w:val="none" w:sz="0" w:space="0" w:color="auto"/>
        <w:bottom w:val="none" w:sz="0" w:space="0" w:color="auto"/>
        <w:right w:val="none" w:sz="0" w:space="0" w:color="auto"/>
      </w:divBdr>
    </w:div>
    <w:div w:id="282686860">
      <w:bodyDiv w:val="1"/>
      <w:marLeft w:val="0"/>
      <w:marRight w:val="0"/>
      <w:marTop w:val="0"/>
      <w:marBottom w:val="0"/>
      <w:divBdr>
        <w:top w:val="none" w:sz="0" w:space="0" w:color="auto"/>
        <w:left w:val="none" w:sz="0" w:space="0" w:color="auto"/>
        <w:bottom w:val="none" w:sz="0" w:space="0" w:color="auto"/>
        <w:right w:val="none" w:sz="0" w:space="0" w:color="auto"/>
      </w:divBdr>
    </w:div>
    <w:div w:id="286280666">
      <w:bodyDiv w:val="1"/>
      <w:marLeft w:val="0"/>
      <w:marRight w:val="0"/>
      <w:marTop w:val="0"/>
      <w:marBottom w:val="0"/>
      <w:divBdr>
        <w:top w:val="none" w:sz="0" w:space="0" w:color="auto"/>
        <w:left w:val="none" w:sz="0" w:space="0" w:color="auto"/>
        <w:bottom w:val="none" w:sz="0" w:space="0" w:color="auto"/>
        <w:right w:val="none" w:sz="0" w:space="0" w:color="auto"/>
      </w:divBdr>
    </w:div>
    <w:div w:id="290132348">
      <w:bodyDiv w:val="1"/>
      <w:marLeft w:val="0"/>
      <w:marRight w:val="0"/>
      <w:marTop w:val="0"/>
      <w:marBottom w:val="0"/>
      <w:divBdr>
        <w:top w:val="none" w:sz="0" w:space="0" w:color="auto"/>
        <w:left w:val="none" w:sz="0" w:space="0" w:color="auto"/>
        <w:bottom w:val="none" w:sz="0" w:space="0" w:color="auto"/>
        <w:right w:val="none" w:sz="0" w:space="0" w:color="auto"/>
      </w:divBdr>
    </w:div>
    <w:div w:id="300699981">
      <w:bodyDiv w:val="1"/>
      <w:marLeft w:val="0"/>
      <w:marRight w:val="0"/>
      <w:marTop w:val="0"/>
      <w:marBottom w:val="0"/>
      <w:divBdr>
        <w:top w:val="none" w:sz="0" w:space="0" w:color="auto"/>
        <w:left w:val="none" w:sz="0" w:space="0" w:color="auto"/>
        <w:bottom w:val="none" w:sz="0" w:space="0" w:color="auto"/>
        <w:right w:val="none" w:sz="0" w:space="0" w:color="auto"/>
      </w:divBdr>
    </w:div>
    <w:div w:id="309796705">
      <w:bodyDiv w:val="1"/>
      <w:marLeft w:val="0"/>
      <w:marRight w:val="0"/>
      <w:marTop w:val="0"/>
      <w:marBottom w:val="0"/>
      <w:divBdr>
        <w:top w:val="none" w:sz="0" w:space="0" w:color="auto"/>
        <w:left w:val="none" w:sz="0" w:space="0" w:color="auto"/>
        <w:bottom w:val="none" w:sz="0" w:space="0" w:color="auto"/>
        <w:right w:val="none" w:sz="0" w:space="0" w:color="auto"/>
      </w:divBdr>
    </w:div>
    <w:div w:id="313267740">
      <w:bodyDiv w:val="1"/>
      <w:marLeft w:val="0"/>
      <w:marRight w:val="0"/>
      <w:marTop w:val="0"/>
      <w:marBottom w:val="0"/>
      <w:divBdr>
        <w:top w:val="none" w:sz="0" w:space="0" w:color="auto"/>
        <w:left w:val="none" w:sz="0" w:space="0" w:color="auto"/>
        <w:bottom w:val="none" w:sz="0" w:space="0" w:color="auto"/>
        <w:right w:val="none" w:sz="0" w:space="0" w:color="auto"/>
      </w:divBdr>
      <w:divsChild>
        <w:div w:id="129982671">
          <w:marLeft w:val="0"/>
          <w:marRight w:val="0"/>
          <w:marTop w:val="0"/>
          <w:marBottom w:val="0"/>
          <w:divBdr>
            <w:top w:val="none" w:sz="0" w:space="0" w:color="auto"/>
            <w:left w:val="none" w:sz="0" w:space="0" w:color="auto"/>
            <w:bottom w:val="none" w:sz="0" w:space="0" w:color="auto"/>
            <w:right w:val="none" w:sz="0" w:space="0" w:color="auto"/>
          </w:divBdr>
        </w:div>
        <w:div w:id="983196948">
          <w:marLeft w:val="0"/>
          <w:marRight w:val="0"/>
          <w:marTop w:val="0"/>
          <w:marBottom w:val="0"/>
          <w:divBdr>
            <w:top w:val="none" w:sz="0" w:space="0" w:color="auto"/>
            <w:left w:val="none" w:sz="0" w:space="0" w:color="auto"/>
            <w:bottom w:val="none" w:sz="0" w:space="0" w:color="auto"/>
            <w:right w:val="none" w:sz="0" w:space="0" w:color="auto"/>
          </w:divBdr>
        </w:div>
        <w:div w:id="1410536089">
          <w:marLeft w:val="0"/>
          <w:marRight w:val="0"/>
          <w:marTop w:val="0"/>
          <w:marBottom w:val="0"/>
          <w:divBdr>
            <w:top w:val="none" w:sz="0" w:space="0" w:color="auto"/>
            <w:left w:val="none" w:sz="0" w:space="0" w:color="auto"/>
            <w:bottom w:val="none" w:sz="0" w:space="0" w:color="auto"/>
            <w:right w:val="none" w:sz="0" w:space="0" w:color="auto"/>
          </w:divBdr>
        </w:div>
        <w:div w:id="1509248955">
          <w:marLeft w:val="0"/>
          <w:marRight w:val="0"/>
          <w:marTop w:val="0"/>
          <w:marBottom w:val="0"/>
          <w:divBdr>
            <w:top w:val="none" w:sz="0" w:space="0" w:color="auto"/>
            <w:left w:val="none" w:sz="0" w:space="0" w:color="auto"/>
            <w:bottom w:val="none" w:sz="0" w:space="0" w:color="auto"/>
            <w:right w:val="none" w:sz="0" w:space="0" w:color="auto"/>
          </w:divBdr>
        </w:div>
        <w:div w:id="1576548274">
          <w:marLeft w:val="0"/>
          <w:marRight w:val="0"/>
          <w:marTop w:val="0"/>
          <w:marBottom w:val="0"/>
          <w:divBdr>
            <w:top w:val="none" w:sz="0" w:space="0" w:color="auto"/>
            <w:left w:val="none" w:sz="0" w:space="0" w:color="auto"/>
            <w:bottom w:val="none" w:sz="0" w:space="0" w:color="auto"/>
            <w:right w:val="none" w:sz="0" w:space="0" w:color="auto"/>
          </w:divBdr>
        </w:div>
        <w:div w:id="1995253605">
          <w:marLeft w:val="0"/>
          <w:marRight w:val="0"/>
          <w:marTop w:val="0"/>
          <w:marBottom w:val="0"/>
          <w:divBdr>
            <w:top w:val="none" w:sz="0" w:space="0" w:color="auto"/>
            <w:left w:val="none" w:sz="0" w:space="0" w:color="auto"/>
            <w:bottom w:val="none" w:sz="0" w:space="0" w:color="auto"/>
            <w:right w:val="none" w:sz="0" w:space="0" w:color="auto"/>
          </w:divBdr>
        </w:div>
      </w:divsChild>
    </w:div>
    <w:div w:id="326907036">
      <w:bodyDiv w:val="1"/>
      <w:marLeft w:val="0"/>
      <w:marRight w:val="0"/>
      <w:marTop w:val="0"/>
      <w:marBottom w:val="0"/>
      <w:divBdr>
        <w:top w:val="none" w:sz="0" w:space="0" w:color="auto"/>
        <w:left w:val="none" w:sz="0" w:space="0" w:color="auto"/>
        <w:bottom w:val="none" w:sz="0" w:space="0" w:color="auto"/>
        <w:right w:val="none" w:sz="0" w:space="0" w:color="auto"/>
      </w:divBdr>
      <w:divsChild>
        <w:div w:id="115221457">
          <w:marLeft w:val="0"/>
          <w:marRight w:val="0"/>
          <w:marTop w:val="0"/>
          <w:marBottom w:val="0"/>
          <w:divBdr>
            <w:top w:val="none" w:sz="0" w:space="0" w:color="auto"/>
            <w:left w:val="none" w:sz="0" w:space="0" w:color="auto"/>
            <w:bottom w:val="none" w:sz="0" w:space="0" w:color="auto"/>
            <w:right w:val="none" w:sz="0" w:space="0" w:color="auto"/>
          </w:divBdr>
          <w:divsChild>
            <w:div w:id="44262927">
              <w:marLeft w:val="0"/>
              <w:marRight w:val="0"/>
              <w:marTop w:val="0"/>
              <w:marBottom w:val="0"/>
              <w:divBdr>
                <w:top w:val="none" w:sz="0" w:space="0" w:color="auto"/>
                <w:left w:val="none" w:sz="0" w:space="0" w:color="auto"/>
                <w:bottom w:val="none" w:sz="0" w:space="0" w:color="auto"/>
                <w:right w:val="none" w:sz="0" w:space="0" w:color="auto"/>
              </w:divBdr>
              <w:divsChild>
                <w:div w:id="1737824565">
                  <w:marLeft w:val="0"/>
                  <w:marRight w:val="0"/>
                  <w:marTop w:val="0"/>
                  <w:marBottom w:val="0"/>
                  <w:divBdr>
                    <w:top w:val="none" w:sz="0" w:space="0" w:color="auto"/>
                    <w:left w:val="none" w:sz="0" w:space="0" w:color="auto"/>
                    <w:bottom w:val="none" w:sz="0" w:space="0" w:color="auto"/>
                    <w:right w:val="none" w:sz="0" w:space="0" w:color="auto"/>
                  </w:divBdr>
                  <w:divsChild>
                    <w:div w:id="171488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559671">
      <w:bodyDiv w:val="1"/>
      <w:marLeft w:val="0"/>
      <w:marRight w:val="0"/>
      <w:marTop w:val="0"/>
      <w:marBottom w:val="0"/>
      <w:divBdr>
        <w:top w:val="none" w:sz="0" w:space="0" w:color="auto"/>
        <w:left w:val="none" w:sz="0" w:space="0" w:color="auto"/>
        <w:bottom w:val="none" w:sz="0" w:space="0" w:color="auto"/>
        <w:right w:val="none" w:sz="0" w:space="0" w:color="auto"/>
      </w:divBdr>
    </w:div>
    <w:div w:id="330959446">
      <w:bodyDiv w:val="1"/>
      <w:marLeft w:val="0"/>
      <w:marRight w:val="0"/>
      <w:marTop w:val="0"/>
      <w:marBottom w:val="0"/>
      <w:divBdr>
        <w:top w:val="none" w:sz="0" w:space="0" w:color="auto"/>
        <w:left w:val="none" w:sz="0" w:space="0" w:color="auto"/>
        <w:bottom w:val="none" w:sz="0" w:space="0" w:color="auto"/>
        <w:right w:val="none" w:sz="0" w:space="0" w:color="auto"/>
      </w:divBdr>
      <w:divsChild>
        <w:div w:id="1574966157">
          <w:marLeft w:val="0"/>
          <w:marRight w:val="0"/>
          <w:marTop w:val="0"/>
          <w:marBottom w:val="0"/>
          <w:divBdr>
            <w:top w:val="none" w:sz="0" w:space="0" w:color="auto"/>
            <w:left w:val="none" w:sz="0" w:space="0" w:color="auto"/>
            <w:bottom w:val="none" w:sz="0" w:space="0" w:color="auto"/>
            <w:right w:val="none" w:sz="0" w:space="0" w:color="auto"/>
          </w:divBdr>
        </w:div>
        <w:div w:id="2081052587">
          <w:marLeft w:val="0"/>
          <w:marRight w:val="0"/>
          <w:marTop w:val="0"/>
          <w:marBottom w:val="0"/>
          <w:divBdr>
            <w:top w:val="none" w:sz="0" w:space="0" w:color="auto"/>
            <w:left w:val="none" w:sz="0" w:space="0" w:color="auto"/>
            <w:bottom w:val="none" w:sz="0" w:space="0" w:color="auto"/>
            <w:right w:val="none" w:sz="0" w:space="0" w:color="auto"/>
          </w:divBdr>
        </w:div>
      </w:divsChild>
    </w:div>
    <w:div w:id="332538453">
      <w:bodyDiv w:val="1"/>
      <w:marLeft w:val="0"/>
      <w:marRight w:val="0"/>
      <w:marTop w:val="0"/>
      <w:marBottom w:val="0"/>
      <w:divBdr>
        <w:top w:val="none" w:sz="0" w:space="0" w:color="auto"/>
        <w:left w:val="none" w:sz="0" w:space="0" w:color="auto"/>
        <w:bottom w:val="none" w:sz="0" w:space="0" w:color="auto"/>
        <w:right w:val="none" w:sz="0" w:space="0" w:color="auto"/>
      </w:divBdr>
      <w:divsChild>
        <w:div w:id="1823159320">
          <w:marLeft w:val="0"/>
          <w:marRight w:val="0"/>
          <w:marTop w:val="0"/>
          <w:marBottom w:val="0"/>
          <w:divBdr>
            <w:top w:val="none" w:sz="0" w:space="0" w:color="auto"/>
            <w:left w:val="none" w:sz="0" w:space="0" w:color="auto"/>
            <w:bottom w:val="none" w:sz="0" w:space="0" w:color="auto"/>
            <w:right w:val="none" w:sz="0" w:space="0" w:color="auto"/>
          </w:divBdr>
          <w:divsChild>
            <w:div w:id="4869091">
              <w:marLeft w:val="0"/>
              <w:marRight w:val="0"/>
              <w:marTop w:val="0"/>
              <w:marBottom w:val="0"/>
              <w:divBdr>
                <w:top w:val="none" w:sz="0" w:space="0" w:color="auto"/>
                <w:left w:val="none" w:sz="0" w:space="0" w:color="auto"/>
                <w:bottom w:val="none" w:sz="0" w:space="0" w:color="auto"/>
                <w:right w:val="none" w:sz="0" w:space="0" w:color="auto"/>
              </w:divBdr>
              <w:divsChild>
                <w:div w:id="373776617">
                  <w:marLeft w:val="0"/>
                  <w:marRight w:val="0"/>
                  <w:marTop w:val="0"/>
                  <w:marBottom w:val="0"/>
                  <w:divBdr>
                    <w:top w:val="none" w:sz="0" w:space="0" w:color="auto"/>
                    <w:left w:val="none" w:sz="0" w:space="0" w:color="auto"/>
                    <w:bottom w:val="none" w:sz="0" w:space="0" w:color="auto"/>
                    <w:right w:val="none" w:sz="0" w:space="0" w:color="auto"/>
                  </w:divBdr>
                  <w:divsChild>
                    <w:div w:id="19955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613988">
      <w:bodyDiv w:val="1"/>
      <w:marLeft w:val="0"/>
      <w:marRight w:val="0"/>
      <w:marTop w:val="0"/>
      <w:marBottom w:val="0"/>
      <w:divBdr>
        <w:top w:val="none" w:sz="0" w:space="0" w:color="auto"/>
        <w:left w:val="none" w:sz="0" w:space="0" w:color="auto"/>
        <w:bottom w:val="none" w:sz="0" w:space="0" w:color="auto"/>
        <w:right w:val="none" w:sz="0" w:space="0" w:color="auto"/>
      </w:divBdr>
      <w:divsChild>
        <w:div w:id="1107576284">
          <w:marLeft w:val="0"/>
          <w:marRight w:val="0"/>
          <w:marTop w:val="0"/>
          <w:marBottom w:val="0"/>
          <w:divBdr>
            <w:top w:val="none" w:sz="0" w:space="0" w:color="auto"/>
            <w:left w:val="none" w:sz="0" w:space="0" w:color="auto"/>
            <w:bottom w:val="none" w:sz="0" w:space="0" w:color="auto"/>
            <w:right w:val="none" w:sz="0" w:space="0" w:color="auto"/>
          </w:divBdr>
          <w:divsChild>
            <w:div w:id="1694990066">
              <w:marLeft w:val="0"/>
              <w:marRight w:val="0"/>
              <w:marTop w:val="0"/>
              <w:marBottom w:val="0"/>
              <w:divBdr>
                <w:top w:val="none" w:sz="0" w:space="0" w:color="auto"/>
                <w:left w:val="none" w:sz="0" w:space="0" w:color="auto"/>
                <w:bottom w:val="none" w:sz="0" w:space="0" w:color="auto"/>
                <w:right w:val="none" w:sz="0" w:space="0" w:color="auto"/>
              </w:divBdr>
              <w:divsChild>
                <w:div w:id="2102682700">
                  <w:marLeft w:val="0"/>
                  <w:marRight w:val="0"/>
                  <w:marTop w:val="0"/>
                  <w:marBottom w:val="0"/>
                  <w:divBdr>
                    <w:top w:val="none" w:sz="0" w:space="0" w:color="auto"/>
                    <w:left w:val="none" w:sz="0" w:space="0" w:color="auto"/>
                    <w:bottom w:val="none" w:sz="0" w:space="0" w:color="auto"/>
                    <w:right w:val="none" w:sz="0" w:space="0" w:color="auto"/>
                  </w:divBdr>
                  <w:divsChild>
                    <w:div w:id="4128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512273">
      <w:bodyDiv w:val="1"/>
      <w:marLeft w:val="0"/>
      <w:marRight w:val="0"/>
      <w:marTop w:val="0"/>
      <w:marBottom w:val="0"/>
      <w:divBdr>
        <w:top w:val="none" w:sz="0" w:space="0" w:color="auto"/>
        <w:left w:val="none" w:sz="0" w:space="0" w:color="auto"/>
        <w:bottom w:val="none" w:sz="0" w:space="0" w:color="auto"/>
        <w:right w:val="none" w:sz="0" w:space="0" w:color="auto"/>
      </w:divBdr>
    </w:div>
    <w:div w:id="339477667">
      <w:bodyDiv w:val="1"/>
      <w:marLeft w:val="0"/>
      <w:marRight w:val="0"/>
      <w:marTop w:val="0"/>
      <w:marBottom w:val="0"/>
      <w:divBdr>
        <w:top w:val="none" w:sz="0" w:space="0" w:color="auto"/>
        <w:left w:val="none" w:sz="0" w:space="0" w:color="auto"/>
        <w:bottom w:val="none" w:sz="0" w:space="0" w:color="auto"/>
        <w:right w:val="none" w:sz="0" w:space="0" w:color="auto"/>
      </w:divBdr>
    </w:div>
    <w:div w:id="341081195">
      <w:bodyDiv w:val="1"/>
      <w:marLeft w:val="0"/>
      <w:marRight w:val="0"/>
      <w:marTop w:val="0"/>
      <w:marBottom w:val="0"/>
      <w:divBdr>
        <w:top w:val="none" w:sz="0" w:space="0" w:color="auto"/>
        <w:left w:val="none" w:sz="0" w:space="0" w:color="auto"/>
        <w:bottom w:val="none" w:sz="0" w:space="0" w:color="auto"/>
        <w:right w:val="none" w:sz="0" w:space="0" w:color="auto"/>
      </w:divBdr>
    </w:div>
    <w:div w:id="353697955">
      <w:bodyDiv w:val="1"/>
      <w:marLeft w:val="0"/>
      <w:marRight w:val="0"/>
      <w:marTop w:val="0"/>
      <w:marBottom w:val="0"/>
      <w:divBdr>
        <w:top w:val="none" w:sz="0" w:space="0" w:color="auto"/>
        <w:left w:val="none" w:sz="0" w:space="0" w:color="auto"/>
        <w:bottom w:val="none" w:sz="0" w:space="0" w:color="auto"/>
        <w:right w:val="none" w:sz="0" w:space="0" w:color="auto"/>
      </w:divBdr>
      <w:divsChild>
        <w:div w:id="78141034">
          <w:marLeft w:val="0"/>
          <w:marRight w:val="0"/>
          <w:marTop w:val="0"/>
          <w:marBottom w:val="0"/>
          <w:divBdr>
            <w:top w:val="none" w:sz="0" w:space="0" w:color="auto"/>
            <w:left w:val="none" w:sz="0" w:space="0" w:color="auto"/>
            <w:bottom w:val="none" w:sz="0" w:space="0" w:color="auto"/>
            <w:right w:val="none" w:sz="0" w:space="0" w:color="auto"/>
          </w:divBdr>
          <w:divsChild>
            <w:div w:id="980117705">
              <w:marLeft w:val="0"/>
              <w:marRight w:val="0"/>
              <w:marTop w:val="0"/>
              <w:marBottom w:val="0"/>
              <w:divBdr>
                <w:top w:val="none" w:sz="0" w:space="0" w:color="auto"/>
                <w:left w:val="none" w:sz="0" w:space="0" w:color="auto"/>
                <w:bottom w:val="none" w:sz="0" w:space="0" w:color="auto"/>
                <w:right w:val="none" w:sz="0" w:space="0" w:color="auto"/>
              </w:divBdr>
            </w:div>
          </w:divsChild>
        </w:div>
        <w:div w:id="446462872">
          <w:marLeft w:val="0"/>
          <w:marRight w:val="0"/>
          <w:marTop w:val="0"/>
          <w:marBottom w:val="0"/>
          <w:divBdr>
            <w:top w:val="none" w:sz="0" w:space="0" w:color="auto"/>
            <w:left w:val="none" w:sz="0" w:space="0" w:color="auto"/>
            <w:bottom w:val="none" w:sz="0" w:space="0" w:color="auto"/>
            <w:right w:val="none" w:sz="0" w:space="0" w:color="auto"/>
          </w:divBdr>
          <w:divsChild>
            <w:div w:id="1655136790">
              <w:marLeft w:val="0"/>
              <w:marRight w:val="0"/>
              <w:marTop w:val="0"/>
              <w:marBottom w:val="0"/>
              <w:divBdr>
                <w:top w:val="none" w:sz="0" w:space="0" w:color="auto"/>
                <w:left w:val="none" w:sz="0" w:space="0" w:color="auto"/>
                <w:bottom w:val="none" w:sz="0" w:space="0" w:color="auto"/>
                <w:right w:val="none" w:sz="0" w:space="0" w:color="auto"/>
              </w:divBdr>
              <w:divsChild>
                <w:div w:id="12046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932335">
      <w:bodyDiv w:val="1"/>
      <w:marLeft w:val="0"/>
      <w:marRight w:val="0"/>
      <w:marTop w:val="0"/>
      <w:marBottom w:val="0"/>
      <w:divBdr>
        <w:top w:val="none" w:sz="0" w:space="0" w:color="auto"/>
        <w:left w:val="none" w:sz="0" w:space="0" w:color="auto"/>
        <w:bottom w:val="none" w:sz="0" w:space="0" w:color="auto"/>
        <w:right w:val="none" w:sz="0" w:space="0" w:color="auto"/>
      </w:divBdr>
    </w:div>
    <w:div w:id="356588248">
      <w:bodyDiv w:val="1"/>
      <w:marLeft w:val="0"/>
      <w:marRight w:val="0"/>
      <w:marTop w:val="0"/>
      <w:marBottom w:val="0"/>
      <w:divBdr>
        <w:top w:val="none" w:sz="0" w:space="0" w:color="auto"/>
        <w:left w:val="none" w:sz="0" w:space="0" w:color="auto"/>
        <w:bottom w:val="none" w:sz="0" w:space="0" w:color="auto"/>
        <w:right w:val="none" w:sz="0" w:space="0" w:color="auto"/>
      </w:divBdr>
    </w:div>
    <w:div w:id="360278067">
      <w:bodyDiv w:val="1"/>
      <w:marLeft w:val="0"/>
      <w:marRight w:val="0"/>
      <w:marTop w:val="0"/>
      <w:marBottom w:val="0"/>
      <w:divBdr>
        <w:top w:val="none" w:sz="0" w:space="0" w:color="auto"/>
        <w:left w:val="none" w:sz="0" w:space="0" w:color="auto"/>
        <w:bottom w:val="none" w:sz="0" w:space="0" w:color="auto"/>
        <w:right w:val="none" w:sz="0" w:space="0" w:color="auto"/>
      </w:divBdr>
    </w:div>
    <w:div w:id="361638949">
      <w:bodyDiv w:val="1"/>
      <w:marLeft w:val="0"/>
      <w:marRight w:val="0"/>
      <w:marTop w:val="0"/>
      <w:marBottom w:val="0"/>
      <w:divBdr>
        <w:top w:val="none" w:sz="0" w:space="0" w:color="auto"/>
        <w:left w:val="none" w:sz="0" w:space="0" w:color="auto"/>
        <w:bottom w:val="none" w:sz="0" w:space="0" w:color="auto"/>
        <w:right w:val="none" w:sz="0" w:space="0" w:color="auto"/>
      </w:divBdr>
      <w:divsChild>
        <w:div w:id="418796834">
          <w:marLeft w:val="0"/>
          <w:marRight w:val="0"/>
          <w:marTop w:val="0"/>
          <w:marBottom w:val="0"/>
          <w:divBdr>
            <w:top w:val="none" w:sz="0" w:space="0" w:color="auto"/>
            <w:left w:val="none" w:sz="0" w:space="0" w:color="auto"/>
            <w:bottom w:val="none" w:sz="0" w:space="0" w:color="auto"/>
            <w:right w:val="none" w:sz="0" w:space="0" w:color="auto"/>
          </w:divBdr>
        </w:div>
      </w:divsChild>
    </w:div>
    <w:div w:id="364602645">
      <w:bodyDiv w:val="1"/>
      <w:marLeft w:val="0"/>
      <w:marRight w:val="0"/>
      <w:marTop w:val="0"/>
      <w:marBottom w:val="0"/>
      <w:divBdr>
        <w:top w:val="none" w:sz="0" w:space="0" w:color="auto"/>
        <w:left w:val="none" w:sz="0" w:space="0" w:color="auto"/>
        <w:bottom w:val="none" w:sz="0" w:space="0" w:color="auto"/>
        <w:right w:val="none" w:sz="0" w:space="0" w:color="auto"/>
      </w:divBdr>
    </w:div>
    <w:div w:id="369839730">
      <w:bodyDiv w:val="1"/>
      <w:marLeft w:val="0"/>
      <w:marRight w:val="0"/>
      <w:marTop w:val="0"/>
      <w:marBottom w:val="0"/>
      <w:divBdr>
        <w:top w:val="none" w:sz="0" w:space="0" w:color="auto"/>
        <w:left w:val="none" w:sz="0" w:space="0" w:color="auto"/>
        <w:bottom w:val="none" w:sz="0" w:space="0" w:color="auto"/>
        <w:right w:val="none" w:sz="0" w:space="0" w:color="auto"/>
      </w:divBdr>
    </w:div>
    <w:div w:id="372121238">
      <w:bodyDiv w:val="1"/>
      <w:marLeft w:val="0"/>
      <w:marRight w:val="0"/>
      <w:marTop w:val="0"/>
      <w:marBottom w:val="0"/>
      <w:divBdr>
        <w:top w:val="none" w:sz="0" w:space="0" w:color="auto"/>
        <w:left w:val="none" w:sz="0" w:space="0" w:color="auto"/>
        <w:bottom w:val="none" w:sz="0" w:space="0" w:color="auto"/>
        <w:right w:val="none" w:sz="0" w:space="0" w:color="auto"/>
      </w:divBdr>
    </w:div>
    <w:div w:id="379212586">
      <w:bodyDiv w:val="1"/>
      <w:marLeft w:val="0"/>
      <w:marRight w:val="0"/>
      <w:marTop w:val="0"/>
      <w:marBottom w:val="0"/>
      <w:divBdr>
        <w:top w:val="none" w:sz="0" w:space="0" w:color="auto"/>
        <w:left w:val="none" w:sz="0" w:space="0" w:color="auto"/>
        <w:bottom w:val="none" w:sz="0" w:space="0" w:color="auto"/>
        <w:right w:val="none" w:sz="0" w:space="0" w:color="auto"/>
      </w:divBdr>
    </w:div>
    <w:div w:id="382100886">
      <w:bodyDiv w:val="1"/>
      <w:marLeft w:val="0"/>
      <w:marRight w:val="0"/>
      <w:marTop w:val="0"/>
      <w:marBottom w:val="0"/>
      <w:divBdr>
        <w:top w:val="none" w:sz="0" w:space="0" w:color="auto"/>
        <w:left w:val="none" w:sz="0" w:space="0" w:color="auto"/>
        <w:bottom w:val="none" w:sz="0" w:space="0" w:color="auto"/>
        <w:right w:val="none" w:sz="0" w:space="0" w:color="auto"/>
      </w:divBdr>
    </w:div>
    <w:div w:id="393084949">
      <w:bodyDiv w:val="1"/>
      <w:marLeft w:val="0"/>
      <w:marRight w:val="0"/>
      <w:marTop w:val="0"/>
      <w:marBottom w:val="0"/>
      <w:divBdr>
        <w:top w:val="none" w:sz="0" w:space="0" w:color="auto"/>
        <w:left w:val="none" w:sz="0" w:space="0" w:color="auto"/>
        <w:bottom w:val="none" w:sz="0" w:space="0" w:color="auto"/>
        <w:right w:val="none" w:sz="0" w:space="0" w:color="auto"/>
      </w:divBdr>
    </w:div>
    <w:div w:id="395710443">
      <w:bodyDiv w:val="1"/>
      <w:marLeft w:val="0"/>
      <w:marRight w:val="0"/>
      <w:marTop w:val="0"/>
      <w:marBottom w:val="0"/>
      <w:divBdr>
        <w:top w:val="none" w:sz="0" w:space="0" w:color="auto"/>
        <w:left w:val="none" w:sz="0" w:space="0" w:color="auto"/>
        <w:bottom w:val="none" w:sz="0" w:space="0" w:color="auto"/>
        <w:right w:val="none" w:sz="0" w:space="0" w:color="auto"/>
      </w:divBdr>
    </w:div>
    <w:div w:id="396831030">
      <w:bodyDiv w:val="1"/>
      <w:marLeft w:val="0"/>
      <w:marRight w:val="0"/>
      <w:marTop w:val="0"/>
      <w:marBottom w:val="0"/>
      <w:divBdr>
        <w:top w:val="none" w:sz="0" w:space="0" w:color="auto"/>
        <w:left w:val="none" w:sz="0" w:space="0" w:color="auto"/>
        <w:bottom w:val="none" w:sz="0" w:space="0" w:color="auto"/>
        <w:right w:val="none" w:sz="0" w:space="0" w:color="auto"/>
      </w:divBdr>
      <w:divsChild>
        <w:div w:id="253786738">
          <w:marLeft w:val="0"/>
          <w:marRight w:val="0"/>
          <w:marTop w:val="0"/>
          <w:marBottom w:val="0"/>
          <w:divBdr>
            <w:top w:val="none" w:sz="0" w:space="0" w:color="auto"/>
            <w:left w:val="none" w:sz="0" w:space="0" w:color="auto"/>
            <w:bottom w:val="none" w:sz="0" w:space="0" w:color="auto"/>
            <w:right w:val="none" w:sz="0" w:space="0" w:color="auto"/>
          </w:divBdr>
        </w:div>
        <w:div w:id="1805851397">
          <w:marLeft w:val="0"/>
          <w:marRight w:val="0"/>
          <w:marTop w:val="0"/>
          <w:marBottom w:val="0"/>
          <w:divBdr>
            <w:top w:val="none" w:sz="0" w:space="0" w:color="auto"/>
            <w:left w:val="none" w:sz="0" w:space="0" w:color="auto"/>
            <w:bottom w:val="none" w:sz="0" w:space="0" w:color="auto"/>
            <w:right w:val="none" w:sz="0" w:space="0" w:color="auto"/>
          </w:divBdr>
        </w:div>
      </w:divsChild>
    </w:div>
    <w:div w:id="398598119">
      <w:bodyDiv w:val="1"/>
      <w:marLeft w:val="0"/>
      <w:marRight w:val="0"/>
      <w:marTop w:val="0"/>
      <w:marBottom w:val="0"/>
      <w:divBdr>
        <w:top w:val="none" w:sz="0" w:space="0" w:color="auto"/>
        <w:left w:val="none" w:sz="0" w:space="0" w:color="auto"/>
        <w:bottom w:val="none" w:sz="0" w:space="0" w:color="auto"/>
        <w:right w:val="none" w:sz="0" w:space="0" w:color="auto"/>
      </w:divBdr>
    </w:div>
    <w:div w:id="398601517">
      <w:bodyDiv w:val="1"/>
      <w:marLeft w:val="0"/>
      <w:marRight w:val="0"/>
      <w:marTop w:val="0"/>
      <w:marBottom w:val="0"/>
      <w:divBdr>
        <w:top w:val="none" w:sz="0" w:space="0" w:color="auto"/>
        <w:left w:val="none" w:sz="0" w:space="0" w:color="auto"/>
        <w:bottom w:val="none" w:sz="0" w:space="0" w:color="auto"/>
        <w:right w:val="none" w:sz="0" w:space="0" w:color="auto"/>
      </w:divBdr>
    </w:div>
    <w:div w:id="400568621">
      <w:bodyDiv w:val="1"/>
      <w:marLeft w:val="0"/>
      <w:marRight w:val="0"/>
      <w:marTop w:val="0"/>
      <w:marBottom w:val="0"/>
      <w:divBdr>
        <w:top w:val="none" w:sz="0" w:space="0" w:color="auto"/>
        <w:left w:val="none" w:sz="0" w:space="0" w:color="auto"/>
        <w:bottom w:val="none" w:sz="0" w:space="0" w:color="auto"/>
        <w:right w:val="none" w:sz="0" w:space="0" w:color="auto"/>
      </w:divBdr>
    </w:div>
    <w:div w:id="401491509">
      <w:bodyDiv w:val="1"/>
      <w:marLeft w:val="0"/>
      <w:marRight w:val="0"/>
      <w:marTop w:val="0"/>
      <w:marBottom w:val="0"/>
      <w:divBdr>
        <w:top w:val="none" w:sz="0" w:space="0" w:color="auto"/>
        <w:left w:val="none" w:sz="0" w:space="0" w:color="auto"/>
        <w:bottom w:val="none" w:sz="0" w:space="0" w:color="auto"/>
        <w:right w:val="none" w:sz="0" w:space="0" w:color="auto"/>
      </w:divBdr>
    </w:div>
    <w:div w:id="406848751">
      <w:bodyDiv w:val="1"/>
      <w:marLeft w:val="0"/>
      <w:marRight w:val="0"/>
      <w:marTop w:val="0"/>
      <w:marBottom w:val="0"/>
      <w:divBdr>
        <w:top w:val="none" w:sz="0" w:space="0" w:color="auto"/>
        <w:left w:val="none" w:sz="0" w:space="0" w:color="auto"/>
        <w:bottom w:val="none" w:sz="0" w:space="0" w:color="auto"/>
        <w:right w:val="none" w:sz="0" w:space="0" w:color="auto"/>
      </w:divBdr>
    </w:div>
    <w:div w:id="408694334">
      <w:bodyDiv w:val="1"/>
      <w:marLeft w:val="0"/>
      <w:marRight w:val="0"/>
      <w:marTop w:val="0"/>
      <w:marBottom w:val="0"/>
      <w:divBdr>
        <w:top w:val="none" w:sz="0" w:space="0" w:color="auto"/>
        <w:left w:val="none" w:sz="0" w:space="0" w:color="auto"/>
        <w:bottom w:val="none" w:sz="0" w:space="0" w:color="auto"/>
        <w:right w:val="none" w:sz="0" w:space="0" w:color="auto"/>
      </w:divBdr>
    </w:div>
    <w:div w:id="415323750">
      <w:bodyDiv w:val="1"/>
      <w:marLeft w:val="0"/>
      <w:marRight w:val="0"/>
      <w:marTop w:val="0"/>
      <w:marBottom w:val="0"/>
      <w:divBdr>
        <w:top w:val="none" w:sz="0" w:space="0" w:color="auto"/>
        <w:left w:val="none" w:sz="0" w:space="0" w:color="auto"/>
        <w:bottom w:val="none" w:sz="0" w:space="0" w:color="auto"/>
        <w:right w:val="none" w:sz="0" w:space="0" w:color="auto"/>
      </w:divBdr>
    </w:div>
    <w:div w:id="421150190">
      <w:bodyDiv w:val="1"/>
      <w:marLeft w:val="0"/>
      <w:marRight w:val="0"/>
      <w:marTop w:val="0"/>
      <w:marBottom w:val="0"/>
      <w:divBdr>
        <w:top w:val="none" w:sz="0" w:space="0" w:color="auto"/>
        <w:left w:val="none" w:sz="0" w:space="0" w:color="auto"/>
        <w:bottom w:val="none" w:sz="0" w:space="0" w:color="auto"/>
        <w:right w:val="none" w:sz="0" w:space="0" w:color="auto"/>
      </w:divBdr>
    </w:div>
    <w:div w:id="422797137">
      <w:bodyDiv w:val="1"/>
      <w:marLeft w:val="0"/>
      <w:marRight w:val="0"/>
      <w:marTop w:val="0"/>
      <w:marBottom w:val="0"/>
      <w:divBdr>
        <w:top w:val="none" w:sz="0" w:space="0" w:color="auto"/>
        <w:left w:val="none" w:sz="0" w:space="0" w:color="auto"/>
        <w:bottom w:val="none" w:sz="0" w:space="0" w:color="auto"/>
        <w:right w:val="none" w:sz="0" w:space="0" w:color="auto"/>
      </w:divBdr>
    </w:div>
    <w:div w:id="426271443">
      <w:bodyDiv w:val="1"/>
      <w:marLeft w:val="0"/>
      <w:marRight w:val="0"/>
      <w:marTop w:val="0"/>
      <w:marBottom w:val="0"/>
      <w:divBdr>
        <w:top w:val="none" w:sz="0" w:space="0" w:color="auto"/>
        <w:left w:val="none" w:sz="0" w:space="0" w:color="auto"/>
        <w:bottom w:val="none" w:sz="0" w:space="0" w:color="auto"/>
        <w:right w:val="none" w:sz="0" w:space="0" w:color="auto"/>
      </w:divBdr>
    </w:div>
    <w:div w:id="428545301">
      <w:bodyDiv w:val="1"/>
      <w:marLeft w:val="0"/>
      <w:marRight w:val="0"/>
      <w:marTop w:val="0"/>
      <w:marBottom w:val="0"/>
      <w:divBdr>
        <w:top w:val="none" w:sz="0" w:space="0" w:color="auto"/>
        <w:left w:val="none" w:sz="0" w:space="0" w:color="auto"/>
        <w:bottom w:val="none" w:sz="0" w:space="0" w:color="auto"/>
        <w:right w:val="none" w:sz="0" w:space="0" w:color="auto"/>
      </w:divBdr>
    </w:div>
    <w:div w:id="429005094">
      <w:bodyDiv w:val="1"/>
      <w:marLeft w:val="0"/>
      <w:marRight w:val="0"/>
      <w:marTop w:val="0"/>
      <w:marBottom w:val="0"/>
      <w:divBdr>
        <w:top w:val="none" w:sz="0" w:space="0" w:color="auto"/>
        <w:left w:val="none" w:sz="0" w:space="0" w:color="auto"/>
        <w:bottom w:val="none" w:sz="0" w:space="0" w:color="auto"/>
        <w:right w:val="none" w:sz="0" w:space="0" w:color="auto"/>
      </w:divBdr>
      <w:divsChild>
        <w:div w:id="408817145">
          <w:marLeft w:val="0"/>
          <w:marRight w:val="0"/>
          <w:marTop w:val="0"/>
          <w:marBottom w:val="0"/>
          <w:divBdr>
            <w:top w:val="none" w:sz="0" w:space="0" w:color="auto"/>
            <w:left w:val="none" w:sz="0" w:space="0" w:color="auto"/>
            <w:bottom w:val="none" w:sz="0" w:space="0" w:color="auto"/>
            <w:right w:val="none" w:sz="0" w:space="0" w:color="auto"/>
          </w:divBdr>
        </w:div>
        <w:div w:id="438330975">
          <w:marLeft w:val="0"/>
          <w:marRight w:val="0"/>
          <w:marTop w:val="0"/>
          <w:marBottom w:val="0"/>
          <w:divBdr>
            <w:top w:val="none" w:sz="0" w:space="0" w:color="auto"/>
            <w:left w:val="none" w:sz="0" w:space="0" w:color="auto"/>
            <w:bottom w:val="none" w:sz="0" w:space="0" w:color="auto"/>
            <w:right w:val="none" w:sz="0" w:space="0" w:color="auto"/>
          </w:divBdr>
          <w:divsChild>
            <w:div w:id="387461701">
              <w:marLeft w:val="0"/>
              <w:marRight w:val="0"/>
              <w:marTop w:val="0"/>
              <w:marBottom w:val="0"/>
              <w:divBdr>
                <w:top w:val="none" w:sz="0" w:space="0" w:color="auto"/>
                <w:left w:val="none" w:sz="0" w:space="0" w:color="auto"/>
                <w:bottom w:val="none" w:sz="0" w:space="0" w:color="auto"/>
                <w:right w:val="none" w:sz="0" w:space="0" w:color="auto"/>
              </w:divBdr>
              <w:divsChild>
                <w:div w:id="642274234">
                  <w:marLeft w:val="0"/>
                  <w:marRight w:val="0"/>
                  <w:marTop w:val="0"/>
                  <w:marBottom w:val="0"/>
                  <w:divBdr>
                    <w:top w:val="none" w:sz="0" w:space="0" w:color="auto"/>
                    <w:left w:val="none" w:sz="0" w:space="0" w:color="auto"/>
                    <w:bottom w:val="none" w:sz="0" w:space="0" w:color="auto"/>
                    <w:right w:val="none" w:sz="0" w:space="0" w:color="auto"/>
                  </w:divBdr>
                  <w:divsChild>
                    <w:div w:id="18296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10030">
      <w:bodyDiv w:val="1"/>
      <w:marLeft w:val="0"/>
      <w:marRight w:val="0"/>
      <w:marTop w:val="0"/>
      <w:marBottom w:val="0"/>
      <w:divBdr>
        <w:top w:val="none" w:sz="0" w:space="0" w:color="auto"/>
        <w:left w:val="none" w:sz="0" w:space="0" w:color="auto"/>
        <w:bottom w:val="none" w:sz="0" w:space="0" w:color="auto"/>
        <w:right w:val="none" w:sz="0" w:space="0" w:color="auto"/>
      </w:divBdr>
    </w:div>
    <w:div w:id="438918117">
      <w:bodyDiv w:val="1"/>
      <w:marLeft w:val="0"/>
      <w:marRight w:val="0"/>
      <w:marTop w:val="0"/>
      <w:marBottom w:val="0"/>
      <w:divBdr>
        <w:top w:val="none" w:sz="0" w:space="0" w:color="auto"/>
        <w:left w:val="none" w:sz="0" w:space="0" w:color="auto"/>
        <w:bottom w:val="none" w:sz="0" w:space="0" w:color="auto"/>
        <w:right w:val="none" w:sz="0" w:space="0" w:color="auto"/>
      </w:divBdr>
    </w:div>
    <w:div w:id="438989776">
      <w:bodyDiv w:val="1"/>
      <w:marLeft w:val="0"/>
      <w:marRight w:val="0"/>
      <w:marTop w:val="0"/>
      <w:marBottom w:val="0"/>
      <w:divBdr>
        <w:top w:val="none" w:sz="0" w:space="0" w:color="auto"/>
        <w:left w:val="none" w:sz="0" w:space="0" w:color="auto"/>
        <w:bottom w:val="none" w:sz="0" w:space="0" w:color="auto"/>
        <w:right w:val="none" w:sz="0" w:space="0" w:color="auto"/>
      </w:divBdr>
      <w:divsChild>
        <w:div w:id="1708673410">
          <w:marLeft w:val="0"/>
          <w:marRight w:val="0"/>
          <w:marTop w:val="0"/>
          <w:marBottom w:val="0"/>
          <w:divBdr>
            <w:top w:val="none" w:sz="0" w:space="0" w:color="auto"/>
            <w:left w:val="none" w:sz="0" w:space="0" w:color="auto"/>
            <w:bottom w:val="none" w:sz="0" w:space="0" w:color="auto"/>
            <w:right w:val="none" w:sz="0" w:space="0" w:color="auto"/>
          </w:divBdr>
          <w:divsChild>
            <w:div w:id="60931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1144">
      <w:bodyDiv w:val="1"/>
      <w:marLeft w:val="0"/>
      <w:marRight w:val="0"/>
      <w:marTop w:val="0"/>
      <w:marBottom w:val="0"/>
      <w:divBdr>
        <w:top w:val="none" w:sz="0" w:space="0" w:color="auto"/>
        <w:left w:val="none" w:sz="0" w:space="0" w:color="auto"/>
        <w:bottom w:val="none" w:sz="0" w:space="0" w:color="auto"/>
        <w:right w:val="none" w:sz="0" w:space="0" w:color="auto"/>
      </w:divBdr>
      <w:divsChild>
        <w:div w:id="1572303387">
          <w:marLeft w:val="0"/>
          <w:marRight w:val="0"/>
          <w:marTop w:val="540"/>
          <w:marBottom w:val="510"/>
          <w:divBdr>
            <w:top w:val="none" w:sz="0" w:space="0" w:color="auto"/>
            <w:left w:val="none" w:sz="0" w:space="0" w:color="auto"/>
            <w:bottom w:val="none" w:sz="0" w:space="0" w:color="auto"/>
            <w:right w:val="none" w:sz="0" w:space="0" w:color="auto"/>
          </w:divBdr>
          <w:divsChild>
            <w:div w:id="1554348233">
              <w:marLeft w:val="0"/>
              <w:marRight w:val="0"/>
              <w:marTop w:val="0"/>
              <w:marBottom w:val="150"/>
              <w:divBdr>
                <w:top w:val="none" w:sz="0" w:space="0" w:color="auto"/>
                <w:left w:val="none" w:sz="0" w:space="0" w:color="auto"/>
                <w:bottom w:val="none" w:sz="0" w:space="0" w:color="auto"/>
                <w:right w:val="none" w:sz="0" w:space="0" w:color="auto"/>
              </w:divBdr>
            </w:div>
            <w:div w:id="19493116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44080568">
      <w:bodyDiv w:val="1"/>
      <w:marLeft w:val="0"/>
      <w:marRight w:val="0"/>
      <w:marTop w:val="0"/>
      <w:marBottom w:val="0"/>
      <w:divBdr>
        <w:top w:val="none" w:sz="0" w:space="0" w:color="auto"/>
        <w:left w:val="none" w:sz="0" w:space="0" w:color="auto"/>
        <w:bottom w:val="none" w:sz="0" w:space="0" w:color="auto"/>
        <w:right w:val="none" w:sz="0" w:space="0" w:color="auto"/>
      </w:divBdr>
    </w:div>
    <w:div w:id="444233772">
      <w:bodyDiv w:val="1"/>
      <w:marLeft w:val="0"/>
      <w:marRight w:val="0"/>
      <w:marTop w:val="0"/>
      <w:marBottom w:val="0"/>
      <w:divBdr>
        <w:top w:val="none" w:sz="0" w:space="0" w:color="auto"/>
        <w:left w:val="none" w:sz="0" w:space="0" w:color="auto"/>
        <w:bottom w:val="none" w:sz="0" w:space="0" w:color="auto"/>
        <w:right w:val="none" w:sz="0" w:space="0" w:color="auto"/>
      </w:divBdr>
    </w:div>
    <w:div w:id="447238961">
      <w:bodyDiv w:val="1"/>
      <w:marLeft w:val="0"/>
      <w:marRight w:val="0"/>
      <w:marTop w:val="0"/>
      <w:marBottom w:val="0"/>
      <w:divBdr>
        <w:top w:val="none" w:sz="0" w:space="0" w:color="auto"/>
        <w:left w:val="none" w:sz="0" w:space="0" w:color="auto"/>
        <w:bottom w:val="none" w:sz="0" w:space="0" w:color="auto"/>
        <w:right w:val="none" w:sz="0" w:space="0" w:color="auto"/>
      </w:divBdr>
    </w:div>
    <w:div w:id="449469685">
      <w:bodyDiv w:val="1"/>
      <w:marLeft w:val="0"/>
      <w:marRight w:val="0"/>
      <w:marTop w:val="0"/>
      <w:marBottom w:val="0"/>
      <w:divBdr>
        <w:top w:val="none" w:sz="0" w:space="0" w:color="auto"/>
        <w:left w:val="none" w:sz="0" w:space="0" w:color="auto"/>
        <w:bottom w:val="none" w:sz="0" w:space="0" w:color="auto"/>
        <w:right w:val="none" w:sz="0" w:space="0" w:color="auto"/>
      </w:divBdr>
    </w:div>
    <w:div w:id="450056065">
      <w:bodyDiv w:val="1"/>
      <w:marLeft w:val="0"/>
      <w:marRight w:val="0"/>
      <w:marTop w:val="0"/>
      <w:marBottom w:val="0"/>
      <w:divBdr>
        <w:top w:val="none" w:sz="0" w:space="0" w:color="auto"/>
        <w:left w:val="none" w:sz="0" w:space="0" w:color="auto"/>
        <w:bottom w:val="none" w:sz="0" w:space="0" w:color="auto"/>
        <w:right w:val="none" w:sz="0" w:space="0" w:color="auto"/>
      </w:divBdr>
    </w:div>
    <w:div w:id="455024927">
      <w:bodyDiv w:val="1"/>
      <w:marLeft w:val="0"/>
      <w:marRight w:val="0"/>
      <w:marTop w:val="0"/>
      <w:marBottom w:val="0"/>
      <w:divBdr>
        <w:top w:val="none" w:sz="0" w:space="0" w:color="auto"/>
        <w:left w:val="none" w:sz="0" w:space="0" w:color="auto"/>
        <w:bottom w:val="none" w:sz="0" w:space="0" w:color="auto"/>
        <w:right w:val="none" w:sz="0" w:space="0" w:color="auto"/>
      </w:divBdr>
    </w:div>
    <w:div w:id="455833705">
      <w:bodyDiv w:val="1"/>
      <w:marLeft w:val="0"/>
      <w:marRight w:val="0"/>
      <w:marTop w:val="0"/>
      <w:marBottom w:val="0"/>
      <w:divBdr>
        <w:top w:val="none" w:sz="0" w:space="0" w:color="auto"/>
        <w:left w:val="none" w:sz="0" w:space="0" w:color="auto"/>
        <w:bottom w:val="none" w:sz="0" w:space="0" w:color="auto"/>
        <w:right w:val="none" w:sz="0" w:space="0" w:color="auto"/>
      </w:divBdr>
    </w:div>
    <w:div w:id="462240207">
      <w:bodyDiv w:val="1"/>
      <w:marLeft w:val="0"/>
      <w:marRight w:val="0"/>
      <w:marTop w:val="0"/>
      <w:marBottom w:val="0"/>
      <w:divBdr>
        <w:top w:val="none" w:sz="0" w:space="0" w:color="auto"/>
        <w:left w:val="none" w:sz="0" w:space="0" w:color="auto"/>
        <w:bottom w:val="none" w:sz="0" w:space="0" w:color="auto"/>
        <w:right w:val="none" w:sz="0" w:space="0" w:color="auto"/>
      </w:divBdr>
    </w:div>
    <w:div w:id="463885796">
      <w:bodyDiv w:val="1"/>
      <w:marLeft w:val="0"/>
      <w:marRight w:val="0"/>
      <w:marTop w:val="0"/>
      <w:marBottom w:val="0"/>
      <w:divBdr>
        <w:top w:val="none" w:sz="0" w:space="0" w:color="auto"/>
        <w:left w:val="none" w:sz="0" w:space="0" w:color="auto"/>
        <w:bottom w:val="none" w:sz="0" w:space="0" w:color="auto"/>
        <w:right w:val="none" w:sz="0" w:space="0" w:color="auto"/>
      </w:divBdr>
    </w:div>
    <w:div w:id="465971760">
      <w:bodyDiv w:val="1"/>
      <w:marLeft w:val="0"/>
      <w:marRight w:val="0"/>
      <w:marTop w:val="0"/>
      <w:marBottom w:val="0"/>
      <w:divBdr>
        <w:top w:val="none" w:sz="0" w:space="0" w:color="auto"/>
        <w:left w:val="none" w:sz="0" w:space="0" w:color="auto"/>
        <w:bottom w:val="none" w:sz="0" w:space="0" w:color="auto"/>
        <w:right w:val="none" w:sz="0" w:space="0" w:color="auto"/>
      </w:divBdr>
      <w:divsChild>
        <w:div w:id="1997957522">
          <w:marLeft w:val="0"/>
          <w:marRight w:val="0"/>
          <w:marTop w:val="0"/>
          <w:marBottom w:val="0"/>
          <w:divBdr>
            <w:top w:val="none" w:sz="0" w:space="0" w:color="auto"/>
            <w:left w:val="none" w:sz="0" w:space="0" w:color="auto"/>
            <w:bottom w:val="none" w:sz="0" w:space="0" w:color="auto"/>
            <w:right w:val="none" w:sz="0" w:space="0" w:color="auto"/>
          </w:divBdr>
          <w:divsChild>
            <w:div w:id="211146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7975">
      <w:bodyDiv w:val="1"/>
      <w:marLeft w:val="0"/>
      <w:marRight w:val="0"/>
      <w:marTop w:val="0"/>
      <w:marBottom w:val="0"/>
      <w:divBdr>
        <w:top w:val="none" w:sz="0" w:space="0" w:color="auto"/>
        <w:left w:val="none" w:sz="0" w:space="0" w:color="auto"/>
        <w:bottom w:val="none" w:sz="0" w:space="0" w:color="auto"/>
        <w:right w:val="none" w:sz="0" w:space="0" w:color="auto"/>
      </w:divBdr>
    </w:div>
    <w:div w:id="468135977">
      <w:bodyDiv w:val="1"/>
      <w:marLeft w:val="0"/>
      <w:marRight w:val="0"/>
      <w:marTop w:val="0"/>
      <w:marBottom w:val="0"/>
      <w:divBdr>
        <w:top w:val="none" w:sz="0" w:space="0" w:color="auto"/>
        <w:left w:val="none" w:sz="0" w:space="0" w:color="auto"/>
        <w:bottom w:val="none" w:sz="0" w:space="0" w:color="auto"/>
        <w:right w:val="none" w:sz="0" w:space="0" w:color="auto"/>
      </w:divBdr>
    </w:div>
    <w:div w:id="473529241">
      <w:bodyDiv w:val="1"/>
      <w:marLeft w:val="0"/>
      <w:marRight w:val="0"/>
      <w:marTop w:val="0"/>
      <w:marBottom w:val="0"/>
      <w:divBdr>
        <w:top w:val="none" w:sz="0" w:space="0" w:color="auto"/>
        <w:left w:val="none" w:sz="0" w:space="0" w:color="auto"/>
        <w:bottom w:val="none" w:sz="0" w:space="0" w:color="auto"/>
        <w:right w:val="none" w:sz="0" w:space="0" w:color="auto"/>
      </w:divBdr>
    </w:div>
    <w:div w:id="474760541">
      <w:bodyDiv w:val="1"/>
      <w:marLeft w:val="0"/>
      <w:marRight w:val="0"/>
      <w:marTop w:val="0"/>
      <w:marBottom w:val="0"/>
      <w:divBdr>
        <w:top w:val="none" w:sz="0" w:space="0" w:color="auto"/>
        <w:left w:val="none" w:sz="0" w:space="0" w:color="auto"/>
        <w:bottom w:val="none" w:sz="0" w:space="0" w:color="auto"/>
        <w:right w:val="none" w:sz="0" w:space="0" w:color="auto"/>
      </w:divBdr>
    </w:div>
    <w:div w:id="477264372">
      <w:bodyDiv w:val="1"/>
      <w:marLeft w:val="0"/>
      <w:marRight w:val="0"/>
      <w:marTop w:val="0"/>
      <w:marBottom w:val="0"/>
      <w:divBdr>
        <w:top w:val="none" w:sz="0" w:space="0" w:color="auto"/>
        <w:left w:val="none" w:sz="0" w:space="0" w:color="auto"/>
        <w:bottom w:val="none" w:sz="0" w:space="0" w:color="auto"/>
        <w:right w:val="none" w:sz="0" w:space="0" w:color="auto"/>
      </w:divBdr>
    </w:div>
    <w:div w:id="483008281">
      <w:bodyDiv w:val="1"/>
      <w:marLeft w:val="0"/>
      <w:marRight w:val="0"/>
      <w:marTop w:val="0"/>
      <w:marBottom w:val="0"/>
      <w:divBdr>
        <w:top w:val="none" w:sz="0" w:space="0" w:color="auto"/>
        <w:left w:val="none" w:sz="0" w:space="0" w:color="auto"/>
        <w:bottom w:val="none" w:sz="0" w:space="0" w:color="auto"/>
        <w:right w:val="none" w:sz="0" w:space="0" w:color="auto"/>
      </w:divBdr>
    </w:div>
    <w:div w:id="484206574">
      <w:bodyDiv w:val="1"/>
      <w:marLeft w:val="0"/>
      <w:marRight w:val="0"/>
      <w:marTop w:val="0"/>
      <w:marBottom w:val="0"/>
      <w:divBdr>
        <w:top w:val="none" w:sz="0" w:space="0" w:color="auto"/>
        <w:left w:val="none" w:sz="0" w:space="0" w:color="auto"/>
        <w:bottom w:val="none" w:sz="0" w:space="0" w:color="auto"/>
        <w:right w:val="none" w:sz="0" w:space="0" w:color="auto"/>
      </w:divBdr>
    </w:div>
    <w:div w:id="485055220">
      <w:bodyDiv w:val="1"/>
      <w:marLeft w:val="0"/>
      <w:marRight w:val="0"/>
      <w:marTop w:val="0"/>
      <w:marBottom w:val="0"/>
      <w:divBdr>
        <w:top w:val="none" w:sz="0" w:space="0" w:color="auto"/>
        <w:left w:val="none" w:sz="0" w:space="0" w:color="auto"/>
        <w:bottom w:val="none" w:sz="0" w:space="0" w:color="auto"/>
        <w:right w:val="none" w:sz="0" w:space="0" w:color="auto"/>
      </w:divBdr>
    </w:div>
    <w:div w:id="486819723">
      <w:bodyDiv w:val="1"/>
      <w:marLeft w:val="0"/>
      <w:marRight w:val="0"/>
      <w:marTop w:val="0"/>
      <w:marBottom w:val="0"/>
      <w:divBdr>
        <w:top w:val="none" w:sz="0" w:space="0" w:color="auto"/>
        <w:left w:val="none" w:sz="0" w:space="0" w:color="auto"/>
        <w:bottom w:val="none" w:sz="0" w:space="0" w:color="auto"/>
        <w:right w:val="none" w:sz="0" w:space="0" w:color="auto"/>
      </w:divBdr>
      <w:divsChild>
        <w:div w:id="169107213">
          <w:marLeft w:val="0"/>
          <w:marRight w:val="0"/>
          <w:marTop w:val="0"/>
          <w:marBottom w:val="0"/>
          <w:divBdr>
            <w:top w:val="none" w:sz="0" w:space="0" w:color="auto"/>
            <w:left w:val="none" w:sz="0" w:space="0" w:color="auto"/>
            <w:bottom w:val="none" w:sz="0" w:space="0" w:color="auto"/>
            <w:right w:val="none" w:sz="0" w:space="0" w:color="auto"/>
          </w:divBdr>
          <w:divsChild>
            <w:div w:id="1329677691">
              <w:marLeft w:val="0"/>
              <w:marRight w:val="0"/>
              <w:marTop w:val="0"/>
              <w:marBottom w:val="0"/>
              <w:divBdr>
                <w:top w:val="none" w:sz="0" w:space="0" w:color="auto"/>
                <w:left w:val="none" w:sz="0" w:space="0" w:color="auto"/>
                <w:bottom w:val="none" w:sz="0" w:space="0" w:color="auto"/>
                <w:right w:val="none" w:sz="0" w:space="0" w:color="auto"/>
              </w:divBdr>
              <w:divsChild>
                <w:div w:id="621227216">
                  <w:marLeft w:val="0"/>
                  <w:marRight w:val="0"/>
                  <w:marTop w:val="0"/>
                  <w:marBottom w:val="0"/>
                  <w:divBdr>
                    <w:top w:val="none" w:sz="0" w:space="0" w:color="auto"/>
                    <w:left w:val="none" w:sz="0" w:space="0" w:color="auto"/>
                    <w:bottom w:val="none" w:sz="0" w:space="0" w:color="auto"/>
                    <w:right w:val="none" w:sz="0" w:space="0" w:color="auto"/>
                  </w:divBdr>
                  <w:divsChild>
                    <w:div w:id="1379861235">
                      <w:marLeft w:val="0"/>
                      <w:marRight w:val="0"/>
                      <w:marTop w:val="0"/>
                      <w:marBottom w:val="0"/>
                      <w:divBdr>
                        <w:top w:val="none" w:sz="0" w:space="0" w:color="auto"/>
                        <w:left w:val="none" w:sz="0" w:space="0" w:color="auto"/>
                        <w:bottom w:val="none" w:sz="0" w:space="0" w:color="auto"/>
                        <w:right w:val="none" w:sz="0" w:space="0" w:color="auto"/>
                      </w:divBdr>
                      <w:divsChild>
                        <w:div w:id="1850293879">
                          <w:marLeft w:val="0"/>
                          <w:marRight w:val="0"/>
                          <w:marTop w:val="0"/>
                          <w:marBottom w:val="0"/>
                          <w:divBdr>
                            <w:top w:val="none" w:sz="0" w:space="0" w:color="auto"/>
                            <w:left w:val="none" w:sz="0" w:space="0" w:color="auto"/>
                            <w:bottom w:val="none" w:sz="0" w:space="0" w:color="auto"/>
                            <w:right w:val="none" w:sz="0" w:space="0" w:color="auto"/>
                          </w:divBdr>
                          <w:divsChild>
                            <w:div w:id="687172819">
                              <w:marLeft w:val="0"/>
                              <w:marRight w:val="0"/>
                              <w:marTop w:val="0"/>
                              <w:marBottom w:val="0"/>
                              <w:divBdr>
                                <w:top w:val="none" w:sz="0" w:space="0" w:color="auto"/>
                                <w:left w:val="none" w:sz="0" w:space="0" w:color="auto"/>
                                <w:bottom w:val="none" w:sz="0" w:space="0" w:color="auto"/>
                                <w:right w:val="none" w:sz="0" w:space="0" w:color="auto"/>
                              </w:divBdr>
                            </w:div>
                            <w:div w:id="74206803">
                              <w:marLeft w:val="0"/>
                              <w:marRight w:val="0"/>
                              <w:marTop w:val="0"/>
                              <w:marBottom w:val="0"/>
                              <w:divBdr>
                                <w:top w:val="none" w:sz="0" w:space="0" w:color="auto"/>
                                <w:left w:val="none" w:sz="0" w:space="0" w:color="auto"/>
                                <w:bottom w:val="none" w:sz="0" w:space="0" w:color="auto"/>
                                <w:right w:val="none" w:sz="0" w:space="0" w:color="auto"/>
                              </w:divBdr>
                            </w:div>
                          </w:divsChild>
                        </w:div>
                        <w:div w:id="200821604">
                          <w:marLeft w:val="0"/>
                          <w:marRight w:val="0"/>
                          <w:marTop w:val="0"/>
                          <w:marBottom w:val="0"/>
                          <w:divBdr>
                            <w:top w:val="none" w:sz="0" w:space="0" w:color="auto"/>
                            <w:left w:val="none" w:sz="0" w:space="0" w:color="auto"/>
                            <w:bottom w:val="none" w:sz="0" w:space="0" w:color="auto"/>
                            <w:right w:val="none" w:sz="0" w:space="0" w:color="auto"/>
                          </w:divBdr>
                          <w:divsChild>
                            <w:div w:id="1752652923">
                              <w:marLeft w:val="0"/>
                              <w:marRight w:val="0"/>
                              <w:marTop w:val="0"/>
                              <w:marBottom w:val="0"/>
                              <w:divBdr>
                                <w:top w:val="none" w:sz="0" w:space="0" w:color="auto"/>
                                <w:left w:val="none" w:sz="0" w:space="0" w:color="auto"/>
                                <w:bottom w:val="none" w:sz="0" w:space="0" w:color="auto"/>
                                <w:right w:val="none" w:sz="0" w:space="0" w:color="auto"/>
                              </w:divBdr>
                            </w:div>
                          </w:divsChild>
                        </w:div>
                        <w:div w:id="1074619371">
                          <w:marLeft w:val="0"/>
                          <w:marRight w:val="0"/>
                          <w:marTop w:val="0"/>
                          <w:marBottom w:val="0"/>
                          <w:divBdr>
                            <w:top w:val="none" w:sz="0" w:space="0" w:color="auto"/>
                            <w:left w:val="none" w:sz="0" w:space="0" w:color="auto"/>
                            <w:bottom w:val="none" w:sz="0" w:space="0" w:color="auto"/>
                            <w:right w:val="none" w:sz="0" w:space="0" w:color="auto"/>
                          </w:divBdr>
                          <w:divsChild>
                            <w:div w:id="17203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537771">
      <w:bodyDiv w:val="1"/>
      <w:marLeft w:val="0"/>
      <w:marRight w:val="0"/>
      <w:marTop w:val="0"/>
      <w:marBottom w:val="0"/>
      <w:divBdr>
        <w:top w:val="none" w:sz="0" w:space="0" w:color="auto"/>
        <w:left w:val="none" w:sz="0" w:space="0" w:color="auto"/>
        <w:bottom w:val="none" w:sz="0" w:space="0" w:color="auto"/>
        <w:right w:val="none" w:sz="0" w:space="0" w:color="auto"/>
      </w:divBdr>
      <w:divsChild>
        <w:div w:id="285284526">
          <w:marLeft w:val="0"/>
          <w:marRight w:val="0"/>
          <w:marTop w:val="0"/>
          <w:marBottom w:val="0"/>
          <w:divBdr>
            <w:top w:val="none" w:sz="0" w:space="0" w:color="auto"/>
            <w:left w:val="none" w:sz="0" w:space="0" w:color="auto"/>
            <w:bottom w:val="none" w:sz="0" w:space="0" w:color="auto"/>
            <w:right w:val="none" w:sz="0" w:space="0" w:color="auto"/>
          </w:divBdr>
          <w:divsChild>
            <w:div w:id="999817880">
              <w:marLeft w:val="0"/>
              <w:marRight w:val="0"/>
              <w:marTop w:val="0"/>
              <w:marBottom w:val="0"/>
              <w:divBdr>
                <w:top w:val="none" w:sz="0" w:space="0" w:color="auto"/>
                <w:left w:val="none" w:sz="0" w:space="0" w:color="auto"/>
                <w:bottom w:val="none" w:sz="0" w:space="0" w:color="auto"/>
                <w:right w:val="none" w:sz="0" w:space="0" w:color="auto"/>
              </w:divBdr>
            </w:div>
          </w:divsChild>
        </w:div>
        <w:div w:id="32268339">
          <w:marLeft w:val="0"/>
          <w:marRight w:val="0"/>
          <w:marTop w:val="0"/>
          <w:marBottom w:val="0"/>
          <w:divBdr>
            <w:top w:val="none" w:sz="0" w:space="0" w:color="auto"/>
            <w:left w:val="none" w:sz="0" w:space="0" w:color="auto"/>
            <w:bottom w:val="none" w:sz="0" w:space="0" w:color="auto"/>
            <w:right w:val="none" w:sz="0" w:space="0" w:color="auto"/>
          </w:divBdr>
          <w:divsChild>
            <w:div w:id="1922832933">
              <w:marLeft w:val="0"/>
              <w:marRight w:val="0"/>
              <w:marTop w:val="0"/>
              <w:marBottom w:val="0"/>
              <w:divBdr>
                <w:top w:val="none" w:sz="0" w:space="0" w:color="auto"/>
                <w:left w:val="none" w:sz="0" w:space="0" w:color="auto"/>
                <w:bottom w:val="none" w:sz="0" w:space="0" w:color="auto"/>
                <w:right w:val="none" w:sz="0" w:space="0" w:color="auto"/>
              </w:divBdr>
              <w:divsChild>
                <w:div w:id="15430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6349">
      <w:bodyDiv w:val="1"/>
      <w:marLeft w:val="0"/>
      <w:marRight w:val="0"/>
      <w:marTop w:val="0"/>
      <w:marBottom w:val="0"/>
      <w:divBdr>
        <w:top w:val="none" w:sz="0" w:space="0" w:color="auto"/>
        <w:left w:val="none" w:sz="0" w:space="0" w:color="auto"/>
        <w:bottom w:val="none" w:sz="0" w:space="0" w:color="auto"/>
        <w:right w:val="none" w:sz="0" w:space="0" w:color="auto"/>
      </w:divBdr>
    </w:div>
    <w:div w:id="500003848">
      <w:bodyDiv w:val="1"/>
      <w:marLeft w:val="0"/>
      <w:marRight w:val="0"/>
      <w:marTop w:val="0"/>
      <w:marBottom w:val="0"/>
      <w:divBdr>
        <w:top w:val="none" w:sz="0" w:space="0" w:color="auto"/>
        <w:left w:val="none" w:sz="0" w:space="0" w:color="auto"/>
        <w:bottom w:val="none" w:sz="0" w:space="0" w:color="auto"/>
        <w:right w:val="none" w:sz="0" w:space="0" w:color="auto"/>
      </w:divBdr>
    </w:div>
    <w:div w:id="502013423">
      <w:bodyDiv w:val="1"/>
      <w:marLeft w:val="0"/>
      <w:marRight w:val="0"/>
      <w:marTop w:val="0"/>
      <w:marBottom w:val="0"/>
      <w:divBdr>
        <w:top w:val="none" w:sz="0" w:space="0" w:color="auto"/>
        <w:left w:val="none" w:sz="0" w:space="0" w:color="auto"/>
        <w:bottom w:val="none" w:sz="0" w:space="0" w:color="auto"/>
        <w:right w:val="none" w:sz="0" w:space="0" w:color="auto"/>
      </w:divBdr>
    </w:div>
    <w:div w:id="505480191">
      <w:bodyDiv w:val="1"/>
      <w:marLeft w:val="0"/>
      <w:marRight w:val="0"/>
      <w:marTop w:val="0"/>
      <w:marBottom w:val="0"/>
      <w:divBdr>
        <w:top w:val="none" w:sz="0" w:space="0" w:color="auto"/>
        <w:left w:val="none" w:sz="0" w:space="0" w:color="auto"/>
        <w:bottom w:val="none" w:sz="0" w:space="0" w:color="auto"/>
        <w:right w:val="none" w:sz="0" w:space="0" w:color="auto"/>
      </w:divBdr>
      <w:divsChild>
        <w:div w:id="1266422559">
          <w:marLeft w:val="0"/>
          <w:marRight w:val="0"/>
          <w:marTop w:val="0"/>
          <w:marBottom w:val="0"/>
          <w:divBdr>
            <w:top w:val="none" w:sz="0" w:space="0" w:color="auto"/>
            <w:left w:val="none" w:sz="0" w:space="0" w:color="auto"/>
            <w:bottom w:val="none" w:sz="0" w:space="0" w:color="auto"/>
            <w:right w:val="none" w:sz="0" w:space="0" w:color="auto"/>
          </w:divBdr>
          <w:divsChild>
            <w:div w:id="369426707">
              <w:marLeft w:val="0"/>
              <w:marRight w:val="0"/>
              <w:marTop w:val="0"/>
              <w:marBottom w:val="0"/>
              <w:divBdr>
                <w:top w:val="none" w:sz="0" w:space="0" w:color="auto"/>
                <w:left w:val="none" w:sz="0" w:space="0" w:color="auto"/>
                <w:bottom w:val="none" w:sz="0" w:space="0" w:color="auto"/>
                <w:right w:val="none" w:sz="0" w:space="0" w:color="auto"/>
              </w:divBdr>
              <w:divsChild>
                <w:div w:id="689453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08299502">
      <w:bodyDiv w:val="1"/>
      <w:marLeft w:val="0"/>
      <w:marRight w:val="0"/>
      <w:marTop w:val="0"/>
      <w:marBottom w:val="0"/>
      <w:divBdr>
        <w:top w:val="none" w:sz="0" w:space="0" w:color="auto"/>
        <w:left w:val="none" w:sz="0" w:space="0" w:color="auto"/>
        <w:bottom w:val="none" w:sz="0" w:space="0" w:color="auto"/>
        <w:right w:val="none" w:sz="0" w:space="0" w:color="auto"/>
      </w:divBdr>
      <w:divsChild>
        <w:div w:id="1917549060">
          <w:marLeft w:val="0"/>
          <w:marRight w:val="0"/>
          <w:marTop w:val="0"/>
          <w:marBottom w:val="0"/>
          <w:divBdr>
            <w:top w:val="none" w:sz="0" w:space="0" w:color="auto"/>
            <w:left w:val="none" w:sz="0" w:space="0" w:color="auto"/>
            <w:bottom w:val="none" w:sz="0" w:space="0" w:color="auto"/>
            <w:right w:val="none" w:sz="0" w:space="0" w:color="auto"/>
          </w:divBdr>
          <w:divsChild>
            <w:div w:id="1244603274">
              <w:marLeft w:val="0"/>
              <w:marRight w:val="0"/>
              <w:marTop w:val="0"/>
              <w:marBottom w:val="0"/>
              <w:divBdr>
                <w:top w:val="none" w:sz="0" w:space="0" w:color="auto"/>
                <w:left w:val="none" w:sz="0" w:space="0" w:color="auto"/>
                <w:bottom w:val="none" w:sz="0" w:space="0" w:color="auto"/>
                <w:right w:val="none" w:sz="0" w:space="0" w:color="auto"/>
              </w:divBdr>
              <w:divsChild>
                <w:div w:id="1258250392">
                  <w:marLeft w:val="0"/>
                  <w:marRight w:val="0"/>
                  <w:marTop w:val="0"/>
                  <w:marBottom w:val="0"/>
                  <w:divBdr>
                    <w:top w:val="none" w:sz="0" w:space="0" w:color="auto"/>
                    <w:left w:val="none" w:sz="0" w:space="0" w:color="auto"/>
                    <w:bottom w:val="none" w:sz="0" w:space="0" w:color="auto"/>
                    <w:right w:val="none" w:sz="0" w:space="0" w:color="auto"/>
                  </w:divBdr>
                  <w:divsChild>
                    <w:div w:id="982395555">
                      <w:marLeft w:val="0"/>
                      <w:marRight w:val="0"/>
                      <w:marTop w:val="0"/>
                      <w:marBottom w:val="0"/>
                      <w:divBdr>
                        <w:top w:val="none" w:sz="0" w:space="0" w:color="auto"/>
                        <w:left w:val="none" w:sz="0" w:space="0" w:color="auto"/>
                        <w:bottom w:val="none" w:sz="0" w:space="0" w:color="auto"/>
                        <w:right w:val="none" w:sz="0" w:space="0" w:color="auto"/>
                      </w:divBdr>
                      <w:divsChild>
                        <w:div w:id="1925411526">
                          <w:marLeft w:val="0"/>
                          <w:marRight w:val="0"/>
                          <w:marTop w:val="0"/>
                          <w:marBottom w:val="0"/>
                          <w:divBdr>
                            <w:top w:val="none" w:sz="0" w:space="0" w:color="auto"/>
                            <w:left w:val="none" w:sz="0" w:space="0" w:color="auto"/>
                            <w:bottom w:val="none" w:sz="0" w:space="0" w:color="auto"/>
                            <w:right w:val="none" w:sz="0" w:space="0" w:color="auto"/>
                          </w:divBdr>
                          <w:divsChild>
                            <w:div w:id="2073456357">
                              <w:marLeft w:val="0"/>
                              <w:marRight w:val="0"/>
                              <w:marTop w:val="0"/>
                              <w:marBottom w:val="0"/>
                              <w:divBdr>
                                <w:top w:val="none" w:sz="0" w:space="0" w:color="auto"/>
                                <w:left w:val="none" w:sz="0" w:space="0" w:color="auto"/>
                                <w:bottom w:val="none" w:sz="0" w:space="0" w:color="auto"/>
                                <w:right w:val="none" w:sz="0" w:space="0" w:color="auto"/>
                              </w:divBdr>
                              <w:divsChild>
                                <w:div w:id="1587493094">
                                  <w:marLeft w:val="0"/>
                                  <w:marRight w:val="0"/>
                                  <w:marTop w:val="0"/>
                                  <w:marBottom w:val="0"/>
                                  <w:divBdr>
                                    <w:top w:val="none" w:sz="0" w:space="0" w:color="auto"/>
                                    <w:left w:val="none" w:sz="0" w:space="0" w:color="auto"/>
                                    <w:bottom w:val="none" w:sz="0" w:space="0" w:color="auto"/>
                                    <w:right w:val="none" w:sz="0" w:space="0" w:color="auto"/>
                                  </w:divBdr>
                                  <w:divsChild>
                                    <w:div w:id="15101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9680715">
      <w:bodyDiv w:val="1"/>
      <w:marLeft w:val="0"/>
      <w:marRight w:val="0"/>
      <w:marTop w:val="0"/>
      <w:marBottom w:val="0"/>
      <w:divBdr>
        <w:top w:val="none" w:sz="0" w:space="0" w:color="auto"/>
        <w:left w:val="none" w:sz="0" w:space="0" w:color="auto"/>
        <w:bottom w:val="none" w:sz="0" w:space="0" w:color="auto"/>
        <w:right w:val="none" w:sz="0" w:space="0" w:color="auto"/>
      </w:divBdr>
    </w:div>
    <w:div w:id="517626019">
      <w:bodyDiv w:val="1"/>
      <w:marLeft w:val="0"/>
      <w:marRight w:val="0"/>
      <w:marTop w:val="0"/>
      <w:marBottom w:val="0"/>
      <w:divBdr>
        <w:top w:val="none" w:sz="0" w:space="0" w:color="auto"/>
        <w:left w:val="none" w:sz="0" w:space="0" w:color="auto"/>
        <w:bottom w:val="none" w:sz="0" w:space="0" w:color="auto"/>
        <w:right w:val="none" w:sz="0" w:space="0" w:color="auto"/>
      </w:divBdr>
    </w:div>
    <w:div w:id="518392413">
      <w:bodyDiv w:val="1"/>
      <w:marLeft w:val="0"/>
      <w:marRight w:val="0"/>
      <w:marTop w:val="0"/>
      <w:marBottom w:val="0"/>
      <w:divBdr>
        <w:top w:val="none" w:sz="0" w:space="0" w:color="auto"/>
        <w:left w:val="none" w:sz="0" w:space="0" w:color="auto"/>
        <w:bottom w:val="none" w:sz="0" w:space="0" w:color="auto"/>
        <w:right w:val="none" w:sz="0" w:space="0" w:color="auto"/>
      </w:divBdr>
    </w:div>
    <w:div w:id="525483026">
      <w:bodyDiv w:val="1"/>
      <w:marLeft w:val="0"/>
      <w:marRight w:val="0"/>
      <w:marTop w:val="0"/>
      <w:marBottom w:val="0"/>
      <w:divBdr>
        <w:top w:val="none" w:sz="0" w:space="0" w:color="auto"/>
        <w:left w:val="none" w:sz="0" w:space="0" w:color="auto"/>
        <w:bottom w:val="none" w:sz="0" w:space="0" w:color="auto"/>
        <w:right w:val="none" w:sz="0" w:space="0" w:color="auto"/>
      </w:divBdr>
    </w:div>
    <w:div w:id="529996036">
      <w:bodyDiv w:val="1"/>
      <w:marLeft w:val="0"/>
      <w:marRight w:val="0"/>
      <w:marTop w:val="0"/>
      <w:marBottom w:val="0"/>
      <w:divBdr>
        <w:top w:val="none" w:sz="0" w:space="0" w:color="auto"/>
        <w:left w:val="none" w:sz="0" w:space="0" w:color="auto"/>
        <w:bottom w:val="none" w:sz="0" w:space="0" w:color="auto"/>
        <w:right w:val="none" w:sz="0" w:space="0" w:color="auto"/>
      </w:divBdr>
    </w:div>
    <w:div w:id="530341289">
      <w:bodyDiv w:val="1"/>
      <w:marLeft w:val="0"/>
      <w:marRight w:val="0"/>
      <w:marTop w:val="0"/>
      <w:marBottom w:val="0"/>
      <w:divBdr>
        <w:top w:val="none" w:sz="0" w:space="0" w:color="auto"/>
        <w:left w:val="none" w:sz="0" w:space="0" w:color="auto"/>
        <w:bottom w:val="none" w:sz="0" w:space="0" w:color="auto"/>
        <w:right w:val="none" w:sz="0" w:space="0" w:color="auto"/>
      </w:divBdr>
      <w:divsChild>
        <w:div w:id="262762233">
          <w:marLeft w:val="0"/>
          <w:marRight w:val="0"/>
          <w:marTop w:val="0"/>
          <w:marBottom w:val="0"/>
          <w:divBdr>
            <w:top w:val="none" w:sz="0" w:space="0" w:color="auto"/>
            <w:left w:val="none" w:sz="0" w:space="0" w:color="auto"/>
            <w:bottom w:val="none" w:sz="0" w:space="0" w:color="auto"/>
            <w:right w:val="none" w:sz="0" w:space="0" w:color="auto"/>
          </w:divBdr>
          <w:divsChild>
            <w:div w:id="1290740731">
              <w:marLeft w:val="0"/>
              <w:marRight w:val="0"/>
              <w:marTop w:val="0"/>
              <w:marBottom w:val="0"/>
              <w:divBdr>
                <w:top w:val="none" w:sz="0" w:space="0" w:color="auto"/>
                <w:left w:val="none" w:sz="0" w:space="0" w:color="auto"/>
                <w:bottom w:val="none" w:sz="0" w:space="0" w:color="auto"/>
                <w:right w:val="none" w:sz="0" w:space="0" w:color="auto"/>
              </w:divBdr>
              <w:divsChild>
                <w:div w:id="590889590">
                  <w:marLeft w:val="0"/>
                  <w:marRight w:val="0"/>
                  <w:marTop w:val="0"/>
                  <w:marBottom w:val="0"/>
                  <w:divBdr>
                    <w:top w:val="none" w:sz="0" w:space="0" w:color="auto"/>
                    <w:left w:val="none" w:sz="0" w:space="0" w:color="auto"/>
                    <w:bottom w:val="none" w:sz="0" w:space="0" w:color="auto"/>
                    <w:right w:val="none" w:sz="0" w:space="0" w:color="auto"/>
                  </w:divBdr>
                  <w:divsChild>
                    <w:div w:id="5653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37925">
              <w:marLeft w:val="0"/>
              <w:marRight w:val="0"/>
              <w:marTop w:val="0"/>
              <w:marBottom w:val="0"/>
              <w:divBdr>
                <w:top w:val="none" w:sz="0" w:space="0" w:color="auto"/>
                <w:left w:val="none" w:sz="0" w:space="0" w:color="auto"/>
                <w:bottom w:val="none" w:sz="0" w:space="0" w:color="auto"/>
                <w:right w:val="none" w:sz="0" w:space="0" w:color="auto"/>
              </w:divBdr>
            </w:div>
          </w:divsChild>
        </w:div>
        <w:div w:id="775828885">
          <w:marLeft w:val="0"/>
          <w:marRight w:val="0"/>
          <w:marTop w:val="0"/>
          <w:marBottom w:val="0"/>
          <w:divBdr>
            <w:top w:val="none" w:sz="0" w:space="0" w:color="auto"/>
            <w:left w:val="none" w:sz="0" w:space="0" w:color="auto"/>
            <w:bottom w:val="none" w:sz="0" w:space="0" w:color="auto"/>
            <w:right w:val="none" w:sz="0" w:space="0" w:color="auto"/>
          </w:divBdr>
          <w:divsChild>
            <w:div w:id="2137674655">
              <w:marLeft w:val="0"/>
              <w:marRight w:val="0"/>
              <w:marTop w:val="0"/>
              <w:marBottom w:val="0"/>
              <w:divBdr>
                <w:top w:val="none" w:sz="0" w:space="0" w:color="auto"/>
                <w:left w:val="none" w:sz="0" w:space="0" w:color="auto"/>
                <w:bottom w:val="none" w:sz="0" w:space="0" w:color="auto"/>
                <w:right w:val="none" w:sz="0" w:space="0" w:color="auto"/>
              </w:divBdr>
              <w:divsChild>
                <w:div w:id="1728532185">
                  <w:marLeft w:val="0"/>
                  <w:marRight w:val="0"/>
                  <w:marTop w:val="0"/>
                  <w:marBottom w:val="0"/>
                  <w:divBdr>
                    <w:top w:val="none" w:sz="0" w:space="0" w:color="auto"/>
                    <w:left w:val="none" w:sz="0" w:space="0" w:color="auto"/>
                    <w:bottom w:val="none" w:sz="0" w:space="0" w:color="auto"/>
                    <w:right w:val="none" w:sz="0" w:space="0" w:color="auto"/>
                  </w:divBdr>
                  <w:divsChild>
                    <w:div w:id="1983076034">
                      <w:marLeft w:val="0"/>
                      <w:marRight w:val="0"/>
                      <w:marTop w:val="0"/>
                      <w:marBottom w:val="0"/>
                      <w:divBdr>
                        <w:top w:val="none" w:sz="0" w:space="0" w:color="auto"/>
                        <w:left w:val="none" w:sz="0" w:space="0" w:color="auto"/>
                        <w:bottom w:val="none" w:sz="0" w:space="0" w:color="auto"/>
                        <w:right w:val="none" w:sz="0" w:space="0" w:color="auto"/>
                      </w:divBdr>
                      <w:divsChild>
                        <w:div w:id="19226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937909">
      <w:bodyDiv w:val="1"/>
      <w:marLeft w:val="0"/>
      <w:marRight w:val="0"/>
      <w:marTop w:val="0"/>
      <w:marBottom w:val="0"/>
      <w:divBdr>
        <w:top w:val="none" w:sz="0" w:space="0" w:color="auto"/>
        <w:left w:val="none" w:sz="0" w:space="0" w:color="auto"/>
        <w:bottom w:val="none" w:sz="0" w:space="0" w:color="auto"/>
        <w:right w:val="none" w:sz="0" w:space="0" w:color="auto"/>
      </w:divBdr>
    </w:div>
    <w:div w:id="539705642">
      <w:bodyDiv w:val="1"/>
      <w:marLeft w:val="0"/>
      <w:marRight w:val="0"/>
      <w:marTop w:val="0"/>
      <w:marBottom w:val="0"/>
      <w:divBdr>
        <w:top w:val="none" w:sz="0" w:space="0" w:color="auto"/>
        <w:left w:val="none" w:sz="0" w:space="0" w:color="auto"/>
        <w:bottom w:val="none" w:sz="0" w:space="0" w:color="auto"/>
        <w:right w:val="none" w:sz="0" w:space="0" w:color="auto"/>
      </w:divBdr>
    </w:div>
    <w:div w:id="539780622">
      <w:bodyDiv w:val="1"/>
      <w:marLeft w:val="0"/>
      <w:marRight w:val="0"/>
      <w:marTop w:val="0"/>
      <w:marBottom w:val="0"/>
      <w:divBdr>
        <w:top w:val="none" w:sz="0" w:space="0" w:color="auto"/>
        <w:left w:val="none" w:sz="0" w:space="0" w:color="auto"/>
        <w:bottom w:val="none" w:sz="0" w:space="0" w:color="auto"/>
        <w:right w:val="none" w:sz="0" w:space="0" w:color="auto"/>
      </w:divBdr>
    </w:div>
    <w:div w:id="541599281">
      <w:bodyDiv w:val="1"/>
      <w:marLeft w:val="0"/>
      <w:marRight w:val="0"/>
      <w:marTop w:val="0"/>
      <w:marBottom w:val="0"/>
      <w:divBdr>
        <w:top w:val="none" w:sz="0" w:space="0" w:color="auto"/>
        <w:left w:val="none" w:sz="0" w:space="0" w:color="auto"/>
        <w:bottom w:val="none" w:sz="0" w:space="0" w:color="auto"/>
        <w:right w:val="none" w:sz="0" w:space="0" w:color="auto"/>
      </w:divBdr>
    </w:div>
    <w:div w:id="544604721">
      <w:bodyDiv w:val="1"/>
      <w:marLeft w:val="0"/>
      <w:marRight w:val="0"/>
      <w:marTop w:val="0"/>
      <w:marBottom w:val="0"/>
      <w:divBdr>
        <w:top w:val="none" w:sz="0" w:space="0" w:color="auto"/>
        <w:left w:val="none" w:sz="0" w:space="0" w:color="auto"/>
        <w:bottom w:val="none" w:sz="0" w:space="0" w:color="auto"/>
        <w:right w:val="none" w:sz="0" w:space="0" w:color="auto"/>
      </w:divBdr>
    </w:div>
    <w:div w:id="545222764">
      <w:bodyDiv w:val="1"/>
      <w:marLeft w:val="0"/>
      <w:marRight w:val="0"/>
      <w:marTop w:val="0"/>
      <w:marBottom w:val="0"/>
      <w:divBdr>
        <w:top w:val="none" w:sz="0" w:space="0" w:color="auto"/>
        <w:left w:val="none" w:sz="0" w:space="0" w:color="auto"/>
        <w:bottom w:val="none" w:sz="0" w:space="0" w:color="auto"/>
        <w:right w:val="none" w:sz="0" w:space="0" w:color="auto"/>
      </w:divBdr>
      <w:divsChild>
        <w:div w:id="1409572708">
          <w:marLeft w:val="0"/>
          <w:marRight w:val="0"/>
          <w:marTop w:val="0"/>
          <w:marBottom w:val="0"/>
          <w:divBdr>
            <w:top w:val="none" w:sz="0" w:space="0" w:color="auto"/>
            <w:left w:val="none" w:sz="0" w:space="0" w:color="auto"/>
            <w:bottom w:val="none" w:sz="0" w:space="0" w:color="auto"/>
            <w:right w:val="none" w:sz="0" w:space="0" w:color="auto"/>
          </w:divBdr>
        </w:div>
      </w:divsChild>
    </w:div>
    <w:div w:id="548230868">
      <w:bodyDiv w:val="1"/>
      <w:marLeft w:val="0"/>
      <w:marRight w:val="0"/>
      <w:marTop w:val="0"/>
      <w:marBottom w:val="0"/>
      <w:divBdr>
        <w:top w:val="none" w:sz="0" w:space="0" w:color="auto"/>
        <w:left w:val="none" w:sz="0" w:space="0" w:color="auto"/>
        <w:bottom w:val="none" w:sz="0" w:space="0" w:color="auto"/>
        <w:right w:val="none" w:sz="0" w:space="0" w:color="auto"/>
      </w:divBdr>
    </w:div>
    <w:div w:id="554048072">
      <w:bodyDiv w:val="1"/>
      <w:marLeft w:val="0"/>
      <w:marRight w:val="0"/>
      <w:marTop w:val="0"/>
      <w:marBottom w:val="0"/>
      <w:divBdr>
        <w:top w:val="none" w:sz="0" w:space="0" w:color="auto"/>
        <w:left w:val="none" w:sz="0" w:space="0" w:color="auto"/>
        <w:bottom w:val="none" w:sz="0" w:space="0" w:color="auto"/>
        <w:right w:val="none" w:sz="0" w:space="0" w:color="auto"/>
      </w:divBdr>
    </w:div>
    <w:div w:id="555361883">
      <w:bodyDiv w:val="1"/>
      <w:marLeft w:val="0"/>
      <w:marRight w:val="0"/>
      <w:marTop w:val="0"/>
      <w:marBottom w:val="0"/>
      <w:divBdr>
        <w:top w:val="none" w:sz="0" w:space="0" w:color="auto"/>
        <w:left w:val="none" w:sz="0" w:space="0" w:color="auto"/>
        <w:bottom w:val="none" w:sz="0" w:space="0" w:color="auto"/>
        <w:right w:val="none" w:sz="0" w:space="0" w:color="auto"/>
      </w:divBdr>
    </w:div>
    <w:div w:id="561185424">
      <w:bodyDiv w:val="1"/>
      <w:marLeft w:val="0"/>
      <w:marRight w:val="0"/>
      <w:marTop w:val="0"/>
      <w:marBottom w:val="0"/>
      <w:divBdr>
        <w:top w:val="none" w:sz="0" w:space="0" w:color="auto"/>
        <w:left w:val="none" w:sz="0" w:space="0" w:color="auto"/>
        <w:bottom w:val="none" w:sz="0" w:space="0" w:color="auto"/>
        <w:right w:val="none" w:sz="0" w:space="0" w:color="auto"/>
      </w:divBdr>
    </w:div>
    <w:div w:id="565989307">
      <w:bodyDiv w:val="1"/>
      <w:marLeft w:val="0"/>
      <w:marRight w:val="0"/>
      <w:marTop w:val="0"/>
      <w:marBottom w:val="0"/>
      <w:divBdr>
        <w:top w:val="none" w:sz="0" w:space="0" w:color="auto"/>
        <w:left w:val="none" w:sz="0" w:space="0" w:color="auto"/>
        <w:bottom w:val="none" w:sz="0" w:space="0" w:color="auto"/>
        <w:right w:val="none" w:sz="0" w:space="0" w:color="auto"/>
      </w:divBdr>
    </w:div>
    <w:div w:id="566234352">
      <w:bodyDiv w:val="1"/>
      <w:marLeft w:val="0"/>
      <w:marRight w:val="0"/>
      <w:marTop w:val="0"/>
      <w:marBottom w:val="0"/>
      <w:divBdr>
        <w:top w:val="none" w:sz="0" w:space="0" w:color="auto"/>
        <w:left w:val="none" w:sz="0" w:space="0" w:color="auto"/>
        <w:bottom w:val="none" w:sz="0" w:space="0" w:color="auto"/>
        <w:right w:val="none" w:sz="0" w:space="0" w:color="auto"/>
      </w:divBdr>
    </w:div>
    <w:div w:id="572469152">
      <w:bodyDiv w:val="1"/>
      <w:marLeft w:val="0"/>
      <w:marRight w:val="0"/>
      <w:marTop w:val="0"/>
      <w:marBottom w:val="0"/>
      <w:divBdr>
        <w:top w:val="none" w:sz="0" w:space="0" w:color="auto"/>
        <w:left w:val="none" w:sz="0" w:space="0" w:color="auto"/>
        <w:bottom w:val="none" w:sz="0" w:space="0" w:color="auto"/>
        <w:right w:val="none" w:sz="0" w:space="0" w:color="auto"/>
      </w:divBdr>
    </w:div>
    <w:div w:id="583027423">
      <w:bodyDiv w:val="1"/>
      <w:marLeft w:val="0"/>
      <w:marRight w:val="0"/>
      <w:marTop w:val="0"/>
      <w:marBottom w:val="0"/>
      <w:divBdr>
        <w:top w:val="none" w:sz="0" w:space="0" w:color="auto"/>
        <w:left w:val="none" w:sz="0" w:space="0" w:color="auto"/>
        <w:bottom w:val="none" w:sz="0" w:space="0" w:color="auto"/>
        <w:right w:val="none" w:sz="0" w:space="0" w:color="auto"/>
      </w:divBdr>
    </w:div>
    <w:div w:id="584077550">
      <w:bodyDiv w:val="1"/>
      <w:marLeft w:val="0"/>
      <w:marRight w:val="0"/>
      <w:marTop w:val="0"/>
      <w:marBottom w:val="0"/>
      <w:divBdr>
        <w:top w:val="none" w:sz="0" w:space="0" w:color="auto"/>
        <w:left w:val="none" w:sz="0" w:space="0" w:color="auto"/>
        <w:bottom w:val="none" w:sz="0" w:space="0" w:color="auto"/>
        <w:right w:val="none" w:sz="0" w:space="0" w:color="auto"/>
      </w:divBdr>
    </w:div>
    <w:div w:id="589777283">
      <w:bodyDiv w:val="1"/>
      <w:marLeft w:val="0"/>
      <w:marRight w:val="0"/>
      <w:marTop w:val="0"/>
      <w:marBottom w:val="0"/>
      <w:divBdr>
        <w:top w:val="none" w:sz="0" w:space="0" w:color="auto"/>
        <w:left w:val="none" w:sz="0" w:space="0" w:color="auto"/>
        <w:bottom w:val="none" w:sz="0" w:space="0" w:color="auto"/>
        <w:right w:val="none" w:sz="0" w:space="0" w:color="auto"/>
      </w:divBdr>
      <w:divsChild>
        <w:div w:id="99766655">
          <w:marLeft w:val="0"/>
          <w:marRight w:val="0"/>
          <w:marTop w:val="0"/>
          <w:marBottom w:val="0"/>
          <w:divBdr>
            <w:top w:val="none" w:sz="0" w:space="0" w:color="auto"/>
            <w:left w:val="none" w:sz="0" w:space="0" w:color="auto"/>
            <w:bottom w:val="none" w:sz="0" w:space="0" w:color="auto"/>
            <w:right w:val="none" w:sz="0" w:space="0" w:color="auto"/>
          </w:divBdr>
          <w:divsChild>
            <w:div w:id="931160037">
              <w:marLeft w:val="0"/>
              <w:marRight w:val="0"/>
              <w:marTop w:val="0"/>
              <w:marBottom w:val="0"/>
              <w:divBdr>
                <w:top w:val="none" w:sz="0" w:space="0" w:color="auto"/>
                <w:left w:val="none" w:sz="0" w:space="0" w:color="auto"/>
                <w:bottom w:val="none" w:sz="0" w:space="0" w:color="auto"/>
                <w:right w:val="none" w:sz="0" w:space="0" w:color="auto"/>
              </w:divBdr>
            </w:div>
            <w:div w:id="133865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28560">
      <w:bodyDiv w:val="1"/>
      <w:marLeft w:val="0"/>
      <w:marRight w:val="0"/>
      <w:marTop w:val="0"/>
      <w:marBottom w:val="0"/>
      <w:divBdr>
        <w:top w:val="none" w:sz="0" w:space="0" w:color="auto"/>
        <w:left w:val="none" w:sz="0" w:space="0" w:color="auto"/>
        <w:bottom w:val="none" w:sz="0" w:space="0" w:color="auto"/>
        <w:right w:val="none" w:sz="0" w:space="0" w:color="auto"/>
      </w:divBdr>
      <w:divsChild>
        <w:div w:id="1174303813">
          <w:marLeft w:val="0"/>
          <w:marRight w:val="651"/>
          <w:marTop w:val="0"/>
          <w:marBottom w:val="0"/>
          <w:divBdr>
            <w:top w:val="none" w:sz="0" w:space="0" w:color="auto"/>
            <w:left w:val="none" w:sz="0" w:space="0" w:color="auto"/>
            <w:bottom w:val="none" w:sz="0" w:space="0" w:color="auto"/>
            <w:right w:val="none" w:sz="0" w:space="0" w:color="auto"/>
          </w:divBdr>
          <w:divsChild>
            <w:div w:id="796918259">
              <w:marLeft w:val="0"/>
              <w:marRight w:val="0"/>
              <w:marTop w:val="0"/>
              <w:marBottom w:val="0"/>
              <w:divBdr>
                <w:top w:val="none" w:sz="0" w:space="0" w:color="auto"/>
                <w:left w:val="none" w:sz="0" w:space="0" w:color="auto"/>
                <w:bottom w:val="none" w:sz="0" w:space="0" w:color="auto"/>
                <w:right w:val="none" w:sz="0" w:space="0" w:color="auto"/>
              </w:divBdr>
              <w:divsChild>
                <w:div w:id="1164737459">
                  <w:marLeft w:val="0"/>
                  <w:marRight w:val="0"/>
                  <w:marTop w:val="0"/>
                  <w:marBottom w:val="0"/>
                  <w:divBdr>
                    <w:top w:val="none" w:sz="0" w:space="0" w:color="auto"/>
                    <w:left w:val="none" w:sz="0" w:space="0" w:color="auto"/>
                    <w:bottom w:val="none" w:sz="0" w:space="0" w:color="auto"/>
                    <w:right w:val="none" w:sz="0" w:space="0" w:color="auto"/>
                  </w:divBdr>
                  <w:divsChild>
                    <w:div w:id="308747871">
                      <w:marLeft w:val="0"/>
                      <w:marRight w:val="0"/>
                      <w:marTop w:val="540"/>
                      <w:marBottom w:val="0"/>
                      <w:divBdr>
                        <w:top w:val="none" w:sz="0" w:space="0" w:color="auto"/>
                        <w:left w:val="none" w:sz="0" w:space="0" w:color="auto"/>
                        <w:bottom w:val="none" w:sz="0" w:space="0" w:color="auto"/>
                        <w:right w:val="none" w:sz="0" w:space="0" w:color="auto"/>
                      </w:divBdr>
                    </w:div>
                    <w:div w:id="651562263">
                      <w:marLeft w:val="240"/>
                      <w:marRight w:val="0"/>
                      <w:marTop w:val="90"/>
                      <w:marBottom w:val="0"/>
                      <w:divBdr>
                        <w:top w:val="none" w:sz="0" w:space="0" w:color="auto"/>
                        <w:left w:val="none" w:sz="0" w:space="0" w:color="auto"/>
                        <w:bottom w:val="none" w:sz="0" w:space="0" w:color="auto"/>
                        <w:right w:val="none" w:sz="0" w:space="0" w:color="auto"/>
                      </w:divBdr>
                    </w:div>
                    <w:div w:id="924530166">
                      <w:marLeft w:val="0"/>
                      <w:marRight w:val="0"/>
                      <w:marTop w:val="240"/>
                      <w:marBottom w:val="240"/>
                      <w:divBdr>
                        <w:top w:val="none" w:sz="0" w:space="0" w:color="auto"/>
                        <w:left w:val="none" w:sz="0" w:space="0" w:color="auto"/>
                        <w:bottom w:val="none" w:sz="0" w:space="0" w:color="auto"/>
                        <w:right w:val="none" w:sz="0" w:space="0" w:color="auto"/>
                      </w:divBdr>
                      <w:divsChild>
                        <w:div w:id="542182093">
                          <w:marLeft w:val="0"/>
                          <w:marRight w:val="0"/>
                          <w:marTop w:val="60"/>
                          <w:marBottom w:val="0"/>
                          <w:divBdr>
                            <w:top w:val="none" w:sz="0" w:space="0" w:color="auto"/>
                            <w:left w:val="none" w:sz="0" w:space="0" w:color="auto"/>
                            <w:bottom w:val="none" w:sz="0" w:space="0" w:color="auto"/>
                            <w:right w:val="none" w:sz="0" w:space="0" w:color="auto"/>
                          </w:divBdr>
                        </w:div>
                        <w:div w:id="1622373322">
                          <w:marLeft w:val="0"/>
                          <w:marRight w:val="0"/>
                          <w:marTop w:val="60"/>
                          <w:marBottom w:val="0"/>
                          <w:divBdr>
                            <w:top w:val="none" w:sz="0" w:space="0" w:color="auto"/>
                            <w:left w:val="none" w:sz="0" w:space="0" w:color="auto"/>
                            <w:bottom w:val="none" w:sz="0" w:space="0" w:color="auto"/>
                            <w:right w:val="none" w:sz="0" w:space="0" w:color="auto"/>
                          </w:divBdr>
                        </w:div>
                        <w:div w:id="19044848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35898521">
                  <w:marLeft w:val="0"/>
                  <w:marRight w:val="0"/>
                  <w:marTop w:val="0"/>
                  <w:marBottom w:val="180"/>
                  <w:divBdr>
                    <w:top w:val="none" w:sz="0" w:space="0" w:color="auto"/>
                    <w:left w:val="none" w:sz="0" w:space="0" w:color="auto"/>
                    <w:bottom w:val="none" w:sz="0" w:space="0" w:color="auto"/>
                    <w:right w:val="none" w:sz="0" w:space="0" w:color="auto"/>
                  </w:divBdr>
                  <w:divsChild>
                    <w:div w:id="14116136">
                      <w:marLeft w:val="0"/>
                      <w:marRight w:val="0"/>
                      <w:marTop w:val="0"/>
                      <w:marBottom w:val="0"/>
                      <w:divBdr>
                        <w:top w:val="none" w:sz="0" w:space="0" w:color="auto"/>
                        <w:left w:val="none" w:sz="0" w:space="0" w:color="auto"/>
                        <w:bottom w:val="none" w:sz="0" w:space="0" w:color="auto"/>
                        <w:right w:val="none" w:sz="0" w:space="0" w:color="auto"/>
                      </w:divBdr>
                    </w:div>
                  </w:divsChild>
                </w:div>
                <w:div w:id="1950235519">
                  <w:marLeft w:val="0"/>
                  <w:marRight w:val="0"/>
                  <w:marTop w:val="0"/>
                  <w:marBottom w:val="0"/>
                  <w:divBdr>
                    <w:top w:val="none" w:sz="0" w:space="0" w:color="auto"/>
                    <w:left w:val="none" w:sz="0" w:space="0" w:color="auto"/>
                    <w:bottom w:val="none" w:sz="0" w:space="0" w:color="auto"/>
                    <w:right w:val="none" w:sz="0" w:space="0" w:color="auto"/>
                  </w:divBdr>
                  <w:divsChild>
                    <w:div w:id="242877926">
                      <w:marLeft w:val="0"/>
                      <w:marRight w:val="0"/>
                      <w:marTop w:val="0"/>
                      <w:marBottom w:val="0"/>
                      <w:divBdr>
                        <w:top w:val="none" w:sz="0" w:space="0" w:color="auto"/>
                        <w:left w:val="none" w:sz="0" w:space="0" w:color="auto"/>
                        <w:bottom w:val="none" w:sz="0" w:space="0" w:color="auto"/>
                        <w:right w:val="none" w:sz="0" w:space="0" w:color="auto"/>
                      </w:divBdr>
                    </w:div>
                    <w:div w:id="774591807">
                      <w:marLeft w:val="0"/>
                      <w:marRight w:val="0"/>
                      <w:marTop w:val="0"/>
                      <w:marBottom w:val="0"/>
                      <w:divBdr>
                        <w:top w:val="none" w:sz="0" w:space="0" w:color="auto"/>
                        <w:left w:val="none" w:sz="0" w:space="0" w:color="auto"/>
                        <w:bottom w:val="none" w:sz="0" w:space="0" w:color="auto"/>
                        <w:right w:val="none" w:sz="0" w:space="0" w:color="auto"/>
                      </w:divBdr>
                      <w:divsChild>
                        <w:div w:id="515658128">
                          <w:marLeft w:val="0"/>
                          <w:marRight w:val="0"/>
                          <w:marTop w:val="0"/>
                          <w:marBottom w:val="0"/>
                          <w:divBdr>
                            <w:top w:val="none" w:sz="0" w:space="0" w:color="auto"/>
                            <w:left w:val="none" w:sz="0" w:space="0" w:color="auto"/>
                            <w:bottom w:val="none" w:sz="0" w:space="0" w:color="auto"/>
                            <w:right w:val="none" w:sz="0" w:space="0" w:color="auto"/>
                          </w:divBdr>
                          <w:divsChild>
                            <w:div w:id="699548482">
                              <w:marLeft w:val="0"/>
                              <w:marRight w:val="90"/>
                              <w:marTop w:val="0"/>
                              <w:marBottom w:val="0"/>
                              <w:divBdr>
                                <w:top w:val="none" w:sz="0" w:space="0" w:color="auto"/>
                                <w:left w:val="none" w:sz="0" w:space="0" w:color="auto"/>
                                <w:bottom w:val="none" w:sz="0" w:space="0" w:color="auto"/>
                                <w:right w:val="none" w:sz="0" w:space="0" w:color="auto"/>
                              </w:divBdr>
                            </w:div>
                            <w:div w:id="1027491298">
                              <w:marLeft w:val="0"/>
                              <w:marRight w:val="0"/>
                              <w:marTop w:val="0"/>
                              <w:marBottom w:val="0"/>
                              <w:divBdr>
                                <w:top w:val="none" w:sz="0" w:space="0" w:color="auto"/>
                                <w:left w:val="none" w:sz="0" w:space="0" w:color="auto"/>
                                <w:bottom w:val="none" w:sz="0" w:space="0" w:color="auto"/>
                                <w:right w:val="none" w:sz="0" w:space="0" w:color="auto"/>
                              </w:divBdr>
                              <w:divsChild>
                                <w:div w:id="16242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7689">
                      <w:marLeft w:val="0"/>
                      <w:marRight w:val="0"/>
                      <w:marTop w:val="0"/>
                      <w:marBottom w:val="0"/>
                      <w:divBdr>
                        <w:top w:val="none" w:sz="0" w:space="0" w:color="auto"/>
                        <w:left w:val="none" w:sz="0" w:space="0" w:color="auto"/>
                        <w:bottom w:val="none" w:sz="0" w:space="0" w:color="auto"/>
                        <w:right w:val="none" w:sz="0" w:space="0" w:color="auto"/>
                      </w:divBdr>
                      <w:divsChild>
                        <w:div w:id="20361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610847">
          <w:marLeft w:val="0"/>
          <w:marRight w:val="0"/>
          <w:marTop w:val="0"/>
          <w:marBottom w:val="0"/>
          <w:divBdr>
            <w:top w:val="none" w:sz="0" w:space="0" w:color="auto"/>
            <w:left w:val="none" w:sz="0" w:space="0" w:color="auto"/>
            <w:bottom w:val="single" w:sz="6" w:space="0" w:color="EBEAE6"/>
            <w:right w:val="none" w:sz="0" w:space="0" w:color="auto"/>
          </w:divBdr>
        </w:div>
      </w:divsChild>
    </w:div>
    <w:div w:id="595484473">
      <w:bodyDiv w:val="1"/>
      <w:marLeft w:val="0"/>
      <w:marRight w:val="0"/>
      <w:marTop w:val="0"/>
      <w:marBottom w:val="0"/>
      <w:divBdr>
        <w:top w:val="none" w:sz="0" w:space="0" w:color="auto"/>
        <w:left w:val="none" w:sz="0" w:space="0" w:color="auto"/>
        <w:bottom w:val="none" w:sz="0" w:space="0" w:color="auto"/>
        <w:right w:val="none" w:sz="0" w:space="0" w:color="auto"/>
      </w:divBdr>
    </w:div>
    <w:div w:id="599021633">
      <w:bodyDiv w:val="1"/>
      <w:marLeft w:val="0"/>
      <w:marRight w:val="0"/>
      <w:marTop w:val="0"/>
      <w:marBottom w:val="0"/>
      <w:divBdr>
        <w:top w:val="none" w:sz="0" w:space="0" w:color="auto"/>
        <w:left w:val="none" w:sz="0" w:space="0" w:color="auto"/>
        <w:bottom w:val="none" w:sz="0" w:space="0" w:color="auto"/>
        <w:right w:val="none" w:sz="0" w:space="0" w:color="auto"/>
      </w:divBdr>
    </w:div>
    <w:div w:id="601374643">
      <w:bodyDiv w:val="1"/>
      <w:marLeft w:val="0"/>
      <w:marRight w:val="0"/>
      <w:marTop w:val="0"/>
      <w:marBottom w:val="0"/>
      <w:divBdr>
        <w:top w:val="none" w:sz="0" w:space="0" w:color="auto"/>
        <w:left w:val="none" w:sz="0" w:space="0" w:color="auto"/>
        <w:bottom w:val="none" w:sz="0" w:space="0" w:color="auto"/>
        <w:right w:val="none" w:sz="0" w:space="0" w:color="auto"/>
      </w:divBdr>
    </w:div>
    <w:div w:id="605232923">
      <w:bodyDiv w:val="1"/>
      <w:marLeft w:val="0"/>
      <w:marRight w:val="0"/>
      <w:marTop w:val="0"/>
      <w:marBottom w:val="0"/>
      <w:divBdr>
        <w:top w:val="none" w:sz="0" w:space="0" w:color="auto"/>
        <w:left w:val="none" w:sz="0" w:space="0" w:color="auto"/>
        <w:bottom w:val="none" w:sz="0" w:space="0" w:color="auto"/>
        <w:right w:val="none" w:sz="0" w:space="0" w:color="auto"/>
      </w:divBdr>
    </w:div>
    <w:div w:id="618799928">
      <w:bodyDiv w:val="1"/>
      <w:marLeft w:val="0"/>
      <w:marRight w:val="0"/>
      <w:marTop w:val="0"/>
      <w:marBottom w:val="0"/>
      <w:divBdr>
        <w:top w:val="none" w:sz="0" w:space="0" w:color="auto"/>
        <w:left w:val="none" w:sz="0" w:space="0" w:color="auto"/>
        <w:bottom w:val="none" w:sz="0" w:space="0" w:color="auto"/>
        <w:right w:val="none" w:sz="0" w:space="0" w:color="auto"/>
      </w:divBdr>
      <w:divsChild>
        <w:div w:id="1983725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853885">
      <w:bodyDiv w:val="1"/>
      <w:marLeft w:val="0"/>
      <w:marRight w:val="0"/>
      <w:marTop w:val="0"/>
      <w:marBottom w:val="0"/>
      <w:divBdr>
        <w:top w:val="none" w:sz="0" w:space="0" w:color="auto"/>
        <w:left w:val="none" w:sz="0" w:space="0" w:color="auto"/>
        <w:bottom w:val="none" w:sz="0" w:space="0" w:color="auto"/>
        <w:right w:val="none" w:sz="0" w:space="0" w:color="auto"/>
      </w:divBdr>
    </w:div>
    <w:div w:id="625815582">
      <w:bodyDiv w:val="1"/>
      <w:marLeft w:val="0"/>
      <w:marRight w:val="0"/>
      <w:marTop w:val="0"/>
      <w:marBottom w:val="0"/>
      <w:divBdr>
        <w:top w:val="none" w:sz="0" w:space="0" w:color="auto"/>
        <w:left w:val="none" w:sz="0" w:space="0" w:color="auto"/>
        <w:bottom w:val="none" w:sz="0" w:space="0" w:color="auto"/>
        <w:right w:val="none" w:sz="0" w:space="0" w:color="auto"/>
      </w:divBdr>
    </w:div>
    <w:div w:id="626786720">
      <w:bodyDiv w:val="1"/>
      <w:marLeft w:val="0"/>
      <w:marRight w:val="0"/>
      <w:marTop w:val="0"/>
      <w:marBottom w:val="0"/>
      <w:divBdr>
        <w:top w:val="none" w:sz="0" w:space="0" w:color="auto"/>
        <w:left w:val="none" w:sz="0" w:space="0" w:color="auto"/>
        <w:bottom w:val="none" w:sz="0" w:space="0" w:color="auto"/>
        <w:right w:val="none" w:sz="0" w:space="0" w:color="auto"/>
      </w:divBdr>
    </w:div>
    <w:div w:id="638339988">
      <w:bodyDiv w:val="1"/>
      <w:marLeft w:val="0"/>
      <w:marRight w:val="0"/>
      <w:marTop w:val="0"/>
      <w:marBottom w:val="0"/>
      <w:divBdr>
        <w:top w:val="none" w:sz="0" w:space="0" w:color="auto"/>
        <w:left w:val="none" w:sz="0" w:space="0" w:color="auto"/>
        <w:bottom w:val="none" w:sz="0" w:space="0" w:color="auto"/>
        <w:right w:val="none" w:sz="0" w:space="0" w:color="auto"/>
      </w:divBdr>
      <w:divsChild>
        <w:div w:id="453059213">
          <w:marLeft w:val="0"/>
          <w:marRight w:val="0"/>
          <w:marTop w:val="0"/>
          <w:marBottom w:val="0"/>
          <w:divBdr>
            <w:top w:val="none" w:sz="0" w:space="0" w:color="auto"/>
            <w:left w:val="none" w:sz="0" w:space="0" w:color="auto"/>
            <w:bottom w:val="none" w:sz="0" w:space="0" w:color="auto"/>
            <w:right w:val="none" w:sz="0" w:space="0" w:color="auto"/>
          </w:divBdr>
        </w:div>
        <w:div w:id="474298339">
          <w:marLeft w:val="0"/>
          <w:marRight w:val="0"/>
          <w:marTop w:val="0"/>
          <w:marBottom w:val="0"/>
          <w:divBdr>
            <w:top w:val="none" w:sz="0" w:space="0" w:color="auto"/>
            <w:left w:val="none" w:sz="0" w:space="0" w:color="auto"/>
            <w:bottom w:val="none" w:sz="0" w:space="0" w:color="auto"/>
            <w:right w:val="none" w:sz="0" w:space="0" w:color="auto"/>
          </w:divBdr>
        </w:div>
      </w:divsChild>
    </w:div>
    <w:div w:id="638653602">
      <w:bodyDiv w:val="1"/>
      <w:marLeft w:val="0"/>
      <w:marRight w:val="0"/>
      <w:marTop w:val="0"/>
      <w:marBottom w:val="0"/>
      <w:divBdr>
        <w:top w:val="none" w:sz="0" w:space="0" w:color="auto"/>
        <w:left w:val="none" w:sz="0" w:space="0" w:color="auto"/>
        <w:bottom w:val="none" w:sz="0" w:space="0" w:color="auto"/>
        <w:right w:val="none" w:sz="0" w:space="0" w:color="auto"/>
      </w:divBdr>
    </w:div>
    <w:div w:id="640229797">
      <w:bodyDiv w:val="1"/>
      <w:marLeft w:val="0"/>
      <w:marRight w:val="0"/>
      <w:marTop w:val="0"/>
      <w:marBottom w:val="0"/>
      <w:divBdr>
        <w:top w:val="none" w:sz="0" w:space="0" w:color="auto"/>
        <w:left w:val="none" w:sz="0" w:space="0" w:color="auto"/>
        <w:bottom w:val="none" w:sz="0" w:space="0" w:color="auto"/>
        <w:right w:val="none" w:sz="0" w:space="0" w:color="auto"/>
      </w:divBdr>
    </w:div>
    <w:div w:id="645623110">
      <w:bodyDiv w:val="1"/>
      <w:marLeft w:val="0"/>
      <w:marRight w:val="0"/>
      <w:marTop w:val="0"/>
      <w:marBottom w:val="0"/>
      <w:divBdr>
        <w:top w:val="none" w:sz="0" w:space="0" w:color="auto"/>
        <w:left w:val="none" w:sz="0" w:space="0" w:color="auto"/>
        <w:bottom w:val="none" w:sz="0" w:space="0" w:color="auto"/>
        <w:right w:val="none" w:sz="0" w:space="0" w:color="auto"/>
      </w:divBdr>
    </w:div>
    <w:div w:id="653022145">
      <w:bodyDiv w:val="1"/>
      <w:marLeft w:val="0"/>
      <w:marRight w:val="0"/>
      <w:marTop w:val="0"/>
      <w:marBottom w:val="0"/>
      <w:divBdr>
        <w:top w:val="none" w:sz="0" w:space="0" w:color="auto"/>
        <w:left w:val="none" w:sz="0" w:space="0" w:color="auto"/>
        <w:bottom w:val="none" w:sz="0" w:space="0" w:color="auto"/>
        <w:right w:val="none" w:sz="0" w:space="0" w:color="auto"/>
      </w:divBdr>
    </w:div>
    <w:div w:id="658466686">
      <w:bodyDiv w:val="1"/>
      <w:marLeft w:val="0"/>
      <w:marRight w:val="0"/>
      <w:marTop w:val="0"/>
      <w:marBottom w:val="0"/>
      <w:divBdr>
        <w:top w:val="none" w:sz="0" w:space="0" w:color="auto"/>
        <w:left w:val="none" w:sz="0" w:space="0" w:color="auto"/>
        <w:bottom w:val="none" w:sz="0" w:space="0" w:color="auto"/>
        <w:right w:val="none" w:sz="0" w:space="0" w:color="auto"/>
      </w:divBdr>
    </w:div>
    <w:div w:id="660039430">
      <w:bodyDiv w:val="1"/>
      <w:marLeft w:val="0"/>
      <w:marRight w:val="0"/>
      <w:marTop w:val="0"/>
      <w:marBottom w:val="0"/>
      <w:divBdr>
        <w:top w:val="none" w:sz="0" w:space="0" w:color="auto"/>
        <w:left w:val="none" w:sz="0" w:space="0" w:color="auto"/>
        <w:bottom w:val="none" w:sz="0" w:space="0" w:color="auto"/>
        <w:right w:val="none" w:sz="0" w:space="0" w:color="auto"/>
      </w:divBdr>
    </w:div>
    <w:div w:id="661857118">
      <w:bodyDiv w:val="1"/>
      <w:marLeft w:val="0"/>
      <w:marRight w:val="0"/>
      <w:marTop w:val="0"/>
      <w:marBottom w:val="0"/>
      <w:divBdr>
        <w:top w:val="none" w:sz="0" w:space="0" w:color="auto"/>
        <w:left w:val="none" w:sz="0" w:space="0" w:color="auto"/>
        <w:bottom w:val="none" w:sz="0" w:space="0" w:color="auto"/>
        <w:right w:val="none" w:sz="0" w:space="0" w:color="auto"/>
      </w:divBdr>
    </w:div>
    <w:div w:id="666787970">
      <w:bodyDiv w:val="1"/>
      <w:marLeft w:val="0"/>
      <w:marRight w:val="0"/>
      <w:marTop w:val="0"/>
      <w:marBottom w:val="0"/>
      <w:divBdr>
        <w:top w:val="none" w:sz="0" w:space="0" w:color="auto"/>
        <w:left w:val="none" w:sz="0" w:space="0" w:color="auto"/>
        <w:bottom w:val="none" w:sz="0" w:space="0" w:color="auto"/>
        <w:right w:val="none" w:sz="0" w:space="0" w:color="auto"/>
      </w:divBdr>
    </w:div>
    <w:div w:id="666901732">
      <w:bodyDiv w:val="1"/>
      <w:marLeft w:val="0"/>
      <w:marRight w:val="0"/>
      <w:marTop w:val="0"/>
      <w:marBottom w:val="0"/>
      <w:divBdr>
        <w:top w:val="none" w:sz="0" w:space="0" w:color="auto"/>
        <w:left w:val="none" w:sz="0" w:space="0" w:color="auto"/>
        <w:bottom w:val="none" w:sz="0" w:space="0" w:color="auto"/>
        <w:right w:val="none" w:sz="0" w:space="0" w:color="auto"/>
      </w:divBdr>
    </w:div>
    <w:div w:id="667489733">
      <w:bodyDiv w:val="1"/>
      <w:marLeft w:val="0"/>
      <w:marRight w:val="0"/>
      <w:marTop w:val="0"/>
      <w:marBottom w:val="0"/>
      <w:divBdr>
        <w:top w:val="none" w:sz="0" w:space="0" w:color="auto"/>
        <w:left w:val="none" w:sz="0" w:space="0" w:color="auto"/>
        <w:bottom w:val="none" w:sz="0" w:space="0" w:color="auto"/>
        <w:right w:val="none" w:sz="0" w:space="0" w:color="auto"/>
      </w:divBdr>
      <w:divsChild>
        <w:div w:id="740327414">
          <w:marLeft w:val="0"/>
          <w:marRight w:val="0"/>
          <w:marTop w:val="0"/>
          <w:marBottom w:val="0"/>
          <w:divBdr>
            <w:top w:val="none" w:sz="0" w:space="0" w:color="auto"/>
            <w:left w:val="none" w:sz="0" w:space="0" w:color="auto"/>
            <w:bottom w:val="none" w:sz="0" w:space="0" w:color="auto"/>
            <w:right w:val="none" w:sz="0" w:space="0" w:color="auto"/>
          </w:divBdr>
        </w:div>
        <w:div w:id="1090617050">
          <w:marLeft w:val="0"/>
          <w:marRight w:val="0"/>
          <w:marTop w:val="0"/>
          <w:marBottom w:val="0"/>
          <w:divBdr>
            <w:top w:val="none" w:sz="0" w:space="0" w:color="auto"/>
            <w:left w:val="none" w:sz="0" w:space="0" w:color="auto"/>
            <w:bottom w:val="none" w:sz="0" w:space="0" w:color="auto"/>
            <w:right w:val="none" w:sz="0" w:space="0" w:color="auto"/>
          </w:divBdr>
        </w:div>
      </w:divsChild>
    </w:div>
    <w:div w:id="668139545">
      <w:bodyDiv w:val="1"/>
      <w:marLeft w:val="0"/>
      <w:marRight w:val="0"/>
      <w:marTop w:val="0"/>
      <w:marBottom w:val="0"/>
      <w:divBdr>
        <w:top w:val="none" w:sz="0" w:space="0" w:color="auto"/>
        <w:left w:val="none" w:sz="0" w:space="0" w:color="auto"/>
        <w:bottom w:val="none" w:sz="0" w:space="0" w:color="auto"/>
        <w:right w:val="none" w:sz="0" w:space="0" w:color="auto"/>
      </w:divBdr>
    </w:div>
    <w:div w:id="668142923">
      <w:bodyDiv w:val="1"/>
      <w:marLeft w:val="0"/>
      <w:marRight w:val="0"/>
      <w:marTop w:val="0"/>
      <w:marBottom w:val="0"/>
      <w:divBdr>
        <w:top w:val="none" w:sz="0" w:space="0" w:color="auto"/>
        <w:left w:val="none" w:sz="0" w:space="0" w:color="auto"/>
        <w:bottom w:val="none" w:sz="0" w:space="0" w:color="auto"/>
        <w:right w:val="none" w:sz="0" w:space="0" w:color="auto"/>
      </w:divBdr>
    </w:div>
    <w:div w:id="669213418">
      <w:bodyDiv w:val="1"/>
      <w:marLeft w:val="0"/>
      <w:marRight w:val="0"/>
      <w:marTop w:val="0"/>
      <w:marBottom w:val="0"/>
      <w:divBdr>
        <w:top w:val="none" w:sz="0" w:space="0" w:color="auto"/>
        <w:left w:val="none" w:sz="0" w:space="0" w:color="auto"/>
        <w:bottom w:val="none" w:sz="0" w:space="0" w:color="auto"/>
        <w:right w:val="none" w:sz="0" w:space="0" w:color="auto"/>
      </w:divBdr>
    </w:div>
    <w:div w:id="670564365">
      <w:bodyDiv w:val="1"/>
      <w:marLeft w:val="0"/>
      <w:marRight w:val="0"/>
      <w:marTop w:val="0"/>
      <w:marBottom w:val="0"/>
      <w:divBdr>
        <w:top w:val="none" w:sz="0" w:space="0" w:color="auto"/>
        <w:left w:val="none" w:sz="0" w:space="0" w:color="auto"/>
        <w:bottom w:val="none" w:sz="0" w:space="0" w:color="auto"/>
        <w:right w:val="none" w:sz="0" w:space="0" w:color="auto"/>
      </w:divBdr>
    </w:div>
    <w:div w:id="677269777">
      <w:bodyDiv w:val="1"/>
      <w:marLeft w:val="0"/>
      <w:marRight w:val="0"/>
      <w:marTop w:val="0"/>
      <w:marBottom w:val="0"/>
      <w:divBdr>
        <w:top w:val="none" w:sz="0" w:space="0" w:color="auto"/>
        <w:left w:val="none" w:sz="0" w:space="0" w:color="auto"/>
        <w:bottom w:val="none" w:sz="0" w:space="0" w:color="auto"/>
        <w:right w:val="none" w:sz="0" w:space="0" w:color="auto"/>
      </w:divBdr>
    </w:div>
    <w:div w:id="678045845">
      <w:bodyDiv w:val="1"/>
      <w:marLeft w:val="0"/>
      <w:marRight w:val="0"/>
      <w:marTop w:val="0"/>
      <w:marBottom w:val="0"/>
      <w:divBdr>
        <w:top w:val="none" w:sz="0" w:space="0" w:color="auto"/>
        <w:left w:val="none" w:sz="0" w:space="0" w:color="auto"/>
        <w:bottom w:val="none" w:sz="0" w:space="0" w:color="auto"/>
        <w:right w:val="none" w:sz="0" w:space="0" w:color="auto"/>
      </w:divBdr>
    </w:div>
    <w:div w:id="679048382">
      <w:bodyDiv w:val="1"/>
      <w:marLeft w:val="0"/>
      <w:marRight w:val="0"/>
      <w:marTop w:val="0"/>
      <w:marBottom w:val="0"/>
      <w:divBdr>
        <w:top w:val="none" w:sz="0" w:space="0" w:color="auto"/>
        <w:left w:val="none" w:sz="0" w:space="0" w:color="auto"/>
        <w:bottom w:val="none" w:sz="0" w:space="0" w:color="auto"/>
        <w:right w:val="none" w:sz="0" w:space="0" w:color="auto"/>
      </w:divBdr>
      <w:divsChild>
        <w:div w:id="2104060323">
          <w:marLeft w:val="0"/>
          <w:marRight w:val="0"/>
          <w:marTop w:val="0"/>
          <w:marBottom w:val="0"/>
          <w:divBdr>
            <w:top w:val="none" w:sz="0" w:space="0" w:color="auto"/>
            <w:left w:val="none" w:sz="0" w:space="0" w:color="auto"/>
            <w:bottom w:val="none" w:sz="0" w:space="0" w:color="auto"/>
            <w:right w:val="none" w:sz="0" w:space="0" w:color="auto"/>
          </w:divBdr>
          <w:divsChild>
            <w:div w:id="12163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77341">
      <w:bodyDiv w:val="1"/>
      <w:marLeft w:val="0"/>
      <w:marRight w:val="0"/>
      <w:marTop w:val="0"/>
      <w:marBottom w:val="0"/>
      <w:divBdr>
        <w:top w:val="none" w:sz="0" w:space="0" w:color="auto"/>
        <w:left w:val="none" w:sz="0" w:space="0" w:color="auto"/>
        <w:bottom w:val="none" w:sz="0" w:space="0" w:color="auto"/>
        <w:right w:val="none" w:sz="0" w:space="0" w:color="auto"/>
      </w:divBdr>
    </w:div>
    <w:div w:id="686173325">
      <w:bodyDiv w:val="1"/>
      <w:marLeft w:val="0"/>
      <w:marRight w:val="0"/>
      <w:marTop w:val="0"/>
      <w:marBottom w:val="0"/>
      <w:divBdr>
        <w:top w:val="none" w:sz="0" w:space="0" w:color="auto"/>
        <w:left w:val="none" w:sz="0" w:space="0" w:color="auto"/>
        <w:bottom w:val="none" w:sz="0" w:space="0" w:color="auto"/>
        <w:right w:val="none" w:sz="0" w:space="0" w:color="auto"/>
      </w:divBdr>
    </w:div>
    <w:div w:id="688607587">
      <w:bodyDiv w:val="1"/>
      <w:marLeft w:val="0"/>
      <w:marRight w:val="0"/>
      <w:marTop w:val="0"/>
      <w:marBottom w:val="0"/>
      <w:divBdr>
        <w:top w:val="none" w:sz="0" w:space="0" w:color="auto"/>
        <w:left w:val="none" w:sz="0" w:space="0" w:color="auto"/>
        <w:bottom w:val="none" w:sz="0" w:space="0" w:color="auto"/>
        <w:right w:val="none" w:sz="0" w:space="0" w:color="auto"/>
      </w:divBdr>
      <w:divsChild>
        <w:div w:id="1859080365">
          <w:marLeft w:val="0"/>
          <w:marRight w:val="0"/>
          <w:marTop w:val="0"/>
          <w:marBottom w:val="0"/>
          <w:divBdr>
            <w:top w:val="none" w:sz="0" w:space="0" w:color="auto"/>
            <w:left w:val="none" w:sz="0" w:space="0" w:color="auto"/>
            <w:bottom w:val="none" w:sz="0" w:space="0" w:color="auto"/>
            <w:right w:val="none" w:sz="0" w:space="0" w:color="auto"/>
          </w:divBdr>
          <w:divsChild>
            <w:div w:id="1487551485">
              <w:marLeft w:val="0"/>
              <w:marRight w:val="0"/>
              <w:marTop w:val="0"/>
              <w:marBottom w:val="0"/>
              <w:divBdr>
                <w:top w:val="none" w:sz="0" w:space="0" w:color="auto"/>
                <w:left w:val="none" w:sz="0" w:space="0" w:color="auto"/>
                <w:bottom w:val="none" w:sz="0" w:space="0" w:color="auto"/>
                <w:right w:val="none" w:sz="0" w:space="0" w:color="auto"/>
              </w:divBdr>
              <w:divsChild>
                <w:div w:id="782267620">
                  <w:marLeft w:val="0"/>
                  <w:marRight w:val="0"/>
                  <w:marTop w:val="0"/>
                  <w:marBottom w:val="0"/>
                  <w:divBdr>
                    <w:top w:val="none" w:sz="0" w:space="0" w:color="auto"/>
                    <w:left w:val="none" w:sz="0" w:space="0" w:color="auto"/>
                    <w:bottom w:val="none" w:sz="0" w:space="0" w:color="auto"/>
                    <w:right w:val="none" w:sz="0" w:space="0" w:color="auto"/>
                  </w:divBdr>
                </w:div>
                <w:div w:id="990671188">
                  <w:marLeft w:val="0"/>
                  <w:marRight w:val="0"/>
                  <w:marTop w:val="0"/>
                  <w:marBottom w:val="0"/>
                  <w:divBdr>
                    <w:top w:val="none" w:sz="0" w:space="0" w:color="auto"/>
                    <w:left w:val="none" w:sz="0" w:space="0" w:color="auto"/>
                    <w:bottom w:val="none" w:sz="0" w:space="0" w:color="auto"/>
                    <w:right w:val="none" w:sz="0" w:space="0" w:color="auto"/>
                  </w:divBdr>
                  <w:divsChild>
                    <w:div w:id="208229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35136">
      <w:bodyDiv w:val="1"/>
      <w:marLeft w:val="0"/>
      <w:marRight w:val="0"/>
      <w:marTop w:val="0"/>
      <w:marBottom w:val="0"/>
      <w:divBdr>
        <w:top w:val="none" w:sz="0" w:space="0" w:color="auto"/>
        <w:left w:val="none" w:sz="0" w:space="0" w:color="auto"/>
        <w:bottom w:val="none" w:sz="0" w:space="0" w:color="auto"/>
        <w:right w:val="none" w:sz="0" w:space="0" w:color="auto"/>
      </w:divBdr>
      <w:divsChild>
        <w:div w:id="1854685350">
          <w:marLeft w:val="0"/>
          <w:marRight w:val="0"/>
          <w:marTop w:val="0"/>
          <w:marBottom w:val="0"/>
          <w:divBdr>
            <w:top w:val="none" w:sz="0" w:space="0" w:color="auto"/>
            <w:left w:val="none" w:sz="0" w:space="0" w:color="auto"/>
            <w:bottom w:val="none" w:sz="0" w:space="0" w:color="auto"/>
            <w:right w:val="none" w:sz="0" w:space="0" w:color="auto"/>
          </w:divBdr>
          <w:divsChild>
            <w:div w:id="1666083236">
              <w:marLeft w:val="0"/>
              <w:marRight w:val="0"/>
              <w:marTop w:val="0"/>
              <w:marBottom w:val="0"/>
              <w:divBdr>
                <w:top w:val="none" w:sz="0" w:space="0" w:color="auto"/>
                <w:left w:val="none" w:sz="0" w:space="0" w:color="auto"/>
                <w:bottom w:val="none" w:sz="0" w:space="0" w:color="auto"/>
                <w:right w:val="none" w:sz="0" w:space="0" w:color="auto"/>
              </w:divBdr>
              <w:divsChild>
                <w:div w:id="8484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17661">
      <w:bodyDiv w:val="1"/>
      <w:marLeft w:val="0"/>
      <w:marRight w:val="0"/>
      <w:marTop w:val="0"/>
      <w:marBottom w:val="0"/>
      <w:divBdr>
        <w:top w:val="none" w:sz="0" w:space="0" w:color="auto"/>
        <w:left w:val="none" w:sz="0" w:space="0" w:color="auto"/>
        <w:bottom w:val="none" w:sz="0" w:space="0" w:color="auto"/>
        <w:right w:val="none" w:sz="0" w:space="0" w:color="auto"/>
      </w:divBdr>
    </w:div>
    <w:div w:id="701396551">
      <w:bodyDiv w:val="1"/>
      <w:marLeft w:val="0"/>
      <w:marRight w:val="0"/>
      <w:marTop w:val="0"/>
      <w:marBottom w:val="0"/>
      <w:divBdr>
        <w:top w:val="none" w:sz="0" w:space="0" w:color="auto"/>
        <w:left w:val="none" w:sz="0" w:space="0" w:color="auto"/>
        <w:bottom w:val="none" w:sz="0" w:space="0" w:color="auto"/>
        <w:right w:val="none" w:sz="0" w:space="0" w:color="auto"/>
      </w:divBdr>
    </w:div>
    <w:div w:id="702174458">
      <w:bodyDiv w:val="1"/>
      <w:marLeft w:val="0"/>
      <w:marRight w:val="0"/>
      <w:marTop w:val="0"/>
      <w:marBottom w:val="0"/>
      <w:divBdr>
        <w:top w:val="none" w:sz="0" w:space="0" w:color="auto"/>
        <w:left w:val="none" w:sz="0" w:space="0" w:color="auto"/>
        <w:bottom w:val="none" w:sz="0" w:space="0" w:color="auto"/>
        <w:right w:val="none" w:sz="0" w:space="0" w:color="auto"/>
      </w:divBdr>
    </w:div>
    <w:div w:id="705327327">
      <w:bodyDiv w:val="1"/>
      <w:marLeft w:val="0"/>
      <w:marRight w:val="0"/>
      <w:marTop w:val="0"/>
      <w:marBottom w:val="0"/>
      <w:divBdr>
        <w:top w:val="none" w:sz="0" w:space="0" w:color="auto"/>
        <w:left w:val="none" w:sz="0" w:space="0" w:color="auto"/>
        <w:bottom w:val="none" w:sz="0" w:space="0" w:color="auto"/>
        <w:right w:val="none" w:sz="0" w:space="0" w:color="auto"/>
      </w:divBdr>
    </w:div>
    <w:div w:id="706760075">
      <w:bodyDiv w:val="1"/>
      <w:marLeft w:val="0"/>
      <w:marRight w:val="0"/>
      <w:marTop w:val="0"/>
      <w:marBottom w:val="0"/>
      <w:divBdr>
        <w:top w:val="none" w:sz="0" w:space="0" w:color="auto"/>
        <w:left w:val="none" w:sz="0" w:space="0" w:color="auto"/>
        <w:bottom w:val="none" w:sz="0" w:space="0" w:color="auto"/>
        <w:right w:val="none" w:sz="0" w:space="0" w:color="auto"/>
      </w:divBdr>
    </w:div>
    <w:div w:id="708992434">
      <w:bodyDiv w:val="1"/>
      <w:marLeft w:val="0"/>
      <w:marRight w:val="0"/>
      <w:marTop w:val="0"/>
      <w:marBottom w:val="0"/>
      <w:divBdr>
        <w:top w:val="none" w:sz="0" w:space="0" w:color="auto"/>
        <w:left w:val="none" w:sz="0" w:space="0" w:color="auto"/>
        <w:bottom w:val="none" w:sz="0" w:space="0" w:color="auto"/>
        <w:right w:val="none" w:sz="0" w:space="0" w:color="auto"/>
      </w:divBdr>
    </w:div>
    <w:div w:id="709771156">
      <w:bodyDiv w:val="1"/>
      <w:marLeft w:val="0"/>
      <w:marRight w:val="0"/>
      <w:marTop w:val="0"/>
      <w:marBottom w:val="0"/>
      <w:divBdr>
        <w:top w:val="none" w:sz="0" w:space="0" w:color="auto"/>
        <w:left w:val="none" w:sz="0" w:space="0" w:color="auto"/>
        <w:bottom w:val="none" w:sz="0" w:space="0" w:color="auto"/>
        <w:right w:val="none" w:sz="0" w:space="0" w:color="auto"/>
      </w:divBdr>
      <w:divsChild>
        <w:div w:id="1021400505">
          <w:marLeft w:val="0"/>
          <w:marRight w:val="0"/>
          <w:marTop w:val="0"/>
          <w:marBottom w:val="0"/>
          <w:divBdr>
            <w:top w:val="none" w:sz="0" w:space="0" w:color="auto"/>
            <w:left w:val="none" w:sz="0" w:space="0" w:color="auto"/>
            <w:bottom w:val="none" w:sz="0" w:space="0" w:color="auto"/>
            <w:right w:val="none" w:sz="0" w:space="0" w:color="auto"/>
          </w:divBdr>
        </w:div>
        <w:div w:id="1199125833">
          <w:marLeft w:val="0"/>
          <w:marRight w:val="0"/>
          <w:marTop w:val="0"/>
          <w:marBottom w:val="0"/>
          <w:divBdr>
            <w:top w:val="none" w:sz="0" w:space="0" w:color="auto"/>
            <w:left w:val="none" w:sz="0" w:space="0" w:color="auto"/>
            <w:bottom w:val="none" w:sz="0" w:space="0" w:color="auto"/>
            <w:right w:val="none" w:sz="0" w:space="0" w:color="auto"/>
          </w:divBdr>
        </w:div>
      </w:divsChild>
    </w:div>
    <w:div w:id="712192544">
      <w:bodyDiv w:val="1"/>
      <w:marLeft w:val="0"/>
      <w:marRight w:val="0"/>
      <w:marTop w:val="0"/>
      <w:marBottom w:val="0"/>
      <w:divBdr>
        <w:top w:val="none" w:sz="0" w:space="0" w:color="auto"/>
        <w:left w:val="none" w:sz="0" w:space="0" w:color="auto"/>
        <w:bottom w:val="none" w:sz="0" w:space="0" w:color="auto"/>
        <w:right w:val="none" w:sz="0" w:space="0" w:color="auto"/>
      </w:divBdr>
    </w:div>
    <w:div w:id="712727677">
      <w:bodyDiv w:val="1"/>
      <w:marLeft w:val="0"/>
      <w:marRight w:val="0"/>
      <w:marTop w:val="0"/>
      <w:marBottom w:val="0"/>
      <w:divBdr>
        <w:top w:val="none" w:sz="0" w:space="0" w:color="auto"/>
        <w:left w:val="none" w:sz="0" w:space="0" w:color="auto"/>
        <w:bottom w:val="none" w:sz="0" w:space="0" w:color="auto"/>
        <w:right w:val="none" w:sz="0" w:space="0" w:color="auto"/>
      </w:divBdr>
    </w:div>
    <w:div w:id="713849275">
      <w:bodyDiv w:val="1"/>
      <w:marLeft w:val="0"/>
      <w:marRight w:val="0"/>
      <w:marTop w:val="0"/>
      <w:marBottom w:val="0"/>
      <w:divBdr>
        <w:top w:val="none" w:sz="0" w:space="0" w:color="auto"/>
        <w:left w:val="none" w:sz="0" w:space="0" w:color="auto"/>
        <w:bottom w:val="none" w:sz="0" w:space="0" w:color="auto"/>
        <w:right w:val="none" w:sz="0" w:space="0" w:color="auto"/>
      </w:divBdr>
      <w:divsChild>
        <w:div w:id="821237095">
          <w:marLeft w:val="0"/>
          <w:marRight w:val="0"/>
          <w:marTop w:val="0"/>
          <w:marBottom w:val="0"/>
          <w:divBdr>
            <w:top w:val="none" w:sz="0" w:space="0" w:color="auto"/>
            <w:left w:val="none" w:sz="0" w:space="0" w:color="auto"/>
            <w:bottom w:val="none" w:sz="0" w:space="0" w:color="auto"/>
            <w:right w:val="none" w:sz="0" w:space="0" w:color="auto"/>
          </w:divBdr>
          <w:divsChild>
            <w:div w:id="539707071">
              <w:marLeft w:val="0"/>
              <w:marRight w:val="0"/>
              <w:marTop w:val="0"/>
              <w:marBottom w:val="0"/>
              <w:divBdr>
                <w:top w:val="none" w:sz="0" w:space="0" w:color="auto"/>
                <w:left w:val="none" w:sz="0" w:space="0" w:color="auto"/>
                <w:bottom w:val="none" w:sz="0" w:space="0" w:color="auto"/>
                <w:right w:val="none" w:sz="0" w:space="0" w:color="auto"/>
              </w:divBdr>
              <w:divsChild>
                <w:div w:id="1892377131">
                  <w:marLeft w:val="0"/>
                  <w:marRight w:val="0"/>
                  <w:marTop w:val="0"/>
                  <w:marBottom w:val="0"/>
                  <w:divBdr>
                    <w:top w:val="none" w:sz="0" w:space="0" w:color="auto"/>
                    <w:left w:val="none" w:sz="0" w:space="0" w:color="auto"/>
                    <w:bottom w:val="none" w:sz="0" w:space="0" w:color="auto"/>
                    <w:right w:val="none" w:sz="0" w:space="0" w:color="auto"/>
                  </w:divBdr>
                  <w:divsChild>
                    <w:div w:id="419722294">
                      <w:marLeft w:val="0"/>
                      <w:marRight w:val="0"/>
                      <w:marTop w:val="0"/>
                      <w:marBottom w:val="0"/>
                      <w:divBdr>
                        <w:top w:val="none" w:sz="0" w:space="0" w:color="auto"/>
                        <w:left w:val="none" w:sz="0" w:space="0" w:color="auto"/>
                        <w:bottom w:val="none" w:sz="0" w:space="0" w:color="auto"/>
                        <w:right w:val="none" w:sz="0" w:space="0" w:color="auto"/>
                      </w:divBdr>
                      <w:divsChild>
                        <w:div w:id="2006744434">
                          <w:marLeft w:val="0"/>
                          <w:marRight w:val="0"/>
                          <w:marTop w:val="0"/>
                          <w:marBottom w:val="0"/>
                          <w:divBdr>
                            <w:top w:val="none" w:sz="0" w:space="0" w:color="auto"/>
                            <w:left w:val="none" w:sz="0" w:space="0" w:color="auto"/>
                            <w:bottom w:val="none" w:sz="0" w:space="0" w:color="auto"/>
                            <w:right w:val="none" w:sz="0" w:space="0" w:color="auto"/>
                          </w:divBdr>
                          <w:divsChild>
                            <w:div w:id="2105759780">
                              <w:marLeft w:val="0"/>
                              <w:marRight w:val="0"/>
                              <w:marTop w:val="0"/>
                              <w:marBottom w:val="0"/>
                              <w:divBdr>
                                <w:top w:val="none" w:sz="0" w:space="0" w:color="auto"/>
                                <w:left w:val="none" w:sz="0" w:space="0" w:color="auto"/>
                                <w:bottom w:val="none" w:sz="0" w:space="0" w:color="auto"/>
                                <w:right w:val="none" w:sz="0" w:space="0" w:color="auto"/>
                              </w:divBdr>
                              <w:divsChild>
                                <w:div w:id="62458057">
                                  <w:marLeft w:val="0"/>
                                  <w:marRight w:val="0"/>
                                  <w:marTop w:val="0"/>
                                  <w:marBottom w:val="0"/>
                                  <w:divBdr>
                                    <w:top w:val="none" w:sz="0" w:space="0" w:color="auto"/>
                                    <w:left w:val="none" w:sz="0" w:space="0" w:color="auto"/>
                                    <w:bottom w:val="none" w:sz="0" w:space="0" w:color="auto"/>
                                    <w:right w:val="none" w:sz="0" w:space="0" w:color="auto"/>
                                  </w:divBdr>
                                </w:div>
                                <w:div w:id="42368071">
                                  <w:marLeft w:val="0"/>
                                  <w:marRight w:val="0"/>
                                  <w:marTop w:val="0"/>
                                  <w:marBottom w:val="0"/>
                                  <w:divBdr>
                                    <w:top w:val="none" w:sz="0" w:space="0" w:color="auto"/>
                                    <w:left w:val="none" w:sz="0" w:space="0" w:color="auto"/>
                                    <w:bottom w:val="none" w:sz="0" w:space="0" w:color="auto"/>
                                    <w:right w:val="none" w:sz="0" w:space="0" w:color="auto"/>
                                  </w:divBdr>
                                </w:div>
                                <w:div w:id="1765030345">
                                  <w:marLeft w:val="0"/>
                                  <w:marRight w:val="0"/>
                                  <w:marTop w:val="0"/>
                                  <w:marBottom w:val="0"/>
                                  <w:divBdr>
                                    <w:top w:val="none" w:sz="0" w:space="0" w:color="auto"/>
                                    <w:left w:val="none" w:sz="0" w:space="0" w:color="auto"/>
                                    <w:bottom w:val="none" w:sz="0" w:space="0" w:color="auto"/>
                                    <w:right w:val="none" w:sz="0" w:space="0" w:color="auto"/>
                                  </w:divBdr>
                                </w:div>
                                <w:div w:id="1724982556">
                                  <w:marLeft w:val="0"/>
                                  <w:marRight w:val="0"/>
                                  <w:marTop w:val="0"/>
                                  <w:marBottom w:val="0"/>
                                  <w:divBdr>
                                    <w:top w:val="none" w:sz="0" w:space="0" w:color="auto"/>
                                    <w:left w:val="none" w:sz="0" w:space="0" w:color="auto"/>
                                    <w:bottom w:val="none" w:sz="0" w:space="0" w:color="auto"/>
                                    <w:right w:val="none" w:sz="0" w:space="0" w:color="auto"/>
                                  </w:divBdr>
                                </w:div>
                                <w:div w:id="799611809">
                                  <w:marLeft w:val="0"/>
                                  <w:marRight w:val="0"/>
                                  <w:marTop w:val="0"/>
                                  <w:marBottom w:val="0"/>
                                  <w:divBdr>
                                    <w:top w:val="none" w:sz="0" w:space="0" w:color="auto"/>
                                    <w:left w:val="none" w:sz="0" w:space="0" w:color="auto"/>
                                    <w:bottom w:val="none" w:sz="0" w:space="0" w:color="auto"/>
                                    <w:right w:val="none" w:sz="0" w:space="0" w:color="auto"/>
                                  </w:divBdr>
                                </w:div>
                                <w:div w:id="2047756689">
                                  <w:marLeft w:val="0"/>
                                  <w:marRight w:val="0"/>
                                  <w:marTop w:val="0"/>
                                  <w:marBottom w:val="0"/>
                                  <w:divBdr>
                                    <w:top w:val="none" w:sz="0" w:space="0" w:color="auto"/>
                                    <w:left w:val="none" w:sz="0" w:space="0" w:color="auto"/>
                                    <w:bottom w:val="none" w:sz="0" w:space="0" w:color="auto"/>
                                    <w:right w:val="none" w:sz="0" w:space="0" w:color="auto"/>
                                  </w:divBdr>
                                </w:div>
                                <w:div w:id="1299654102">
                                  <w:marLeft w:val="0"/>
                                  <w:marRight w:val="0"/>
                                  <w:marTop w:val="0"/>
                                  <w:marBottom w:val="0"/>
                                  <w:divBdr>
                                    <w:top w:val="none" w:sz="0" w:space="0" w:color="auto"/>
                                    <w:left w:val="none" w:sz="0" w:space="0" w:color="auto"/>
                                    <w:bottom w:val="none" w:sz="0" w:space="0" w:color="auto"/>
                                    <w:right w:val="none" w:sz="0" w:space="0" w:color="auto"/>
                                  </w:divBdr>
                                </w:div>
                                <w:div w:id="269820650">
                                  <w:marLeft w:val="0"/>
                                  <w:marRight w:val="0"/>
                                  <w:marTop w:val="0"/>
                                  <w:marBottom w:val="0"/>
                                  <w:divBdr>
                                    <w:top w:val="none" w:sz="0" w:space="0" w:color="auto"/>
                                    <w:left w:val="none" w:sz="0" w:space="0" w:color="auto"/>
                                    <w:bottom w:val="none" w:sz="0" w:space="0" w:color="auto"/>
                                    <w:right w:val="none" w:sz="0" w:space="0" w:color="auto"/>
                                  </w:divBdr>
                                </w:div>
                                <w:div w:id="2111389443">
                                  <w:marLeft w:val="0"/>
                                  <w:marRight w:val="0"/>
                                  <w:marTop w:val="0"/>
                                  <w:marBottom w:val="0"/>
                                  <w:divBdr>
                                    <w:top w:val="none" w:sz="0" w:space="0" w:color="auto"/>
                                    <w:left w:val="none" w:sz="0" w:space="0" w:color="auto"/>
                                    <w:bottom w:val="none" w:sz="0" w:space="0" w:color="auto"/>
                                    <w:right w:val="none" w:sz="0" w:space="0" w:color="auto"/>
                                  </w:divBdr>
                                </w:div>
                                <w:div w:id="1717774697">
                                  <w:marLeft w:val="0"/>
                                  <w:marRight w:val="0"/>
                                  <w:marTop w:val="0"/>
                                  <w:marBottom w:val="0"/>
                                  <w:divBdr>
                                    <w:top w:val="none" w:sz="0" w:space="0" w:color="auto"/>
                                    <w:left w:val="none" w:sz="0" w:space="0" w:color="auto"/>
                                    <w:bottom w:val="none" w:sz="0" w:space="0" w:color="auto"/>
                                    <w:right w:val="none" w:sz="0" w:space="0" w:color="auto"/>
                                  </w:divBdr>
                                </w:div>
                                <w:div w:id="604851162">
                                  <w:marLeft w:val="0"/>
                                  <w:marRight w:val="0"/>
                                  <w:marTop w:val="0"/>
                                  <w:marBottom w:val="0"/>
                                  <w:divBdr>
                                    <w:top w:val="none" w:sz="0" w:space="0" w:color="auto"/>
                                    <w:left w:val="none" w:sz="0" w:space="0" w:color="auto"/>
                                    <w:bottom w:val="none" w:sz="0" w:space="0" w:color="auto"/>
                                    <w:right w:val="none" w:sz="0" w:space="0" w:color="auto"/>
                                  </w:divBdr>
                                </w:div>
                                <w:div w:id="2136830993">
                                  <w:marLeft w:val="0"/>
                                  <w:marRight w:val="0"/>
                                  <w:marTop w:val="0"/>
                                  <w:marBottom w:val="0"/>
                                  <w:divBdr>
                                    <w:top w:val="none" w:sz="0" w:space="0" w:color="auto"/>
                                    <w:left w:val="none" w:sz="0" w:space="0" w:color="auto"/>
                                    <w:bottom w:val="none" w:sz="0" w:space="0" w:color="auto"/>
                                    <w:right w:val="none" w:sz="0" w:space="0" w:color="auto"/>
                                  </w:divBdr>
                                </w:div>
                                <w:div w:id="1456413085">
                                  <w:marLeft w:val="0"/>
                                  <w:marRight w:val="0"/>
                                  <w:marTop w:val="0"/>
                                  <w:marBottom w:val="0"/>
                                  <w:divBdr>
                                    <w:top w:val="none" w:sz="0" w:space="0" w:color="auto"/>
                                    <w:left w:val="none" w:sz="0" w:space="0" w:color="auto"/>
                                    <w:bottom w:val="none" w:sz="0" w:space="0" w:color="auto"/>
                                    <w:right w:val="none" w:sz="0" w:space="0" w:color="auto"/>
                                  </w:divBdr>
                                </w:div>
                                <w:div w:id="516381991">
                                  <w:marLeft w:val="0"/>
                                  <w:marRight w:val="0"/>
                                  <w:marTop w:val="0"/>
                                  <w:marBottom w:val="0"/>
                                  <w:divBdr>
                                    <w:top w:val="none" w:sz="0" w:space="0" w:color="auto"/>
                                    <w:left w:val="none" w:sz="0" w:space="0" w:color="auto"/>
                                    <w:bottom w:val="none" w:sz="0" w:space="0" w:color="auto"/>
                                    <w:right w:val="none" w:sz="0" w:space="0" w:color="auto"/>
                                  </w:divBdr>
                                </w:div>
                                <w:div w:id="1116749952">
                                  <w:marLeft w:val="0"/>
                                  <w:marRight w:val="0"/>
                                  <w:marTop w:val="0"/>
                                  <w:marBottom w:val="0"/>
                                  <w:divBdr>
                                    <w:top w:val="none" w:sz="0" w:space="0" w:color="auto"/>
                                    <w:left w:val="none" w:sz="0" w:space="0" w:color="auto"/>
                                    <w:bottom w:val="none" w:sz="0" w:space="0" w:color="auto"/>
                                    <w:right w:val="none" w:sz="0" w:space="0" w:color="auto"/>
                                  </w:divBdr>
                                </w:div>
                                <w:div w:id="437260682">
                                  <w:marLeft w:val="0"/>
                                  <w:marRight w:val="0"/>
                                  <w:marTop w:val="0"/>
                                  <w:marBottom w:val="0"/>
                                  <w:divBdr>
                                    <w:top w:val="none" w:sz="0" w:space="0" w:color="auto"/>
                                    <w:left w:val="none" w:sz="0" w:space="0" w:color="auto"/>
                                    <w:bottom w:val="none" w:sz="0" w:space="0" w:color="auto"/>
                                    <w:right w:val="none" w:sz="0" w:space="0" w:color="auto"/>
                                  </w:divBdr>
                                </w:div>
                                <w:div w:id="2031367512">
                                  <w:marLeft w:val="0"/>
                                  <w:marRight w:val="0"/>
                                  <w:marTop w:val="0"/>
                                  <w:marBottom w:val="0"/>
                                  <w:divBdr>
                                    <w:top w:val="none" w:sz="0" w:space="0" w:color="auto"/>
                                    <w:left w:val="none" w:sz="0" w:space="0" w:color="auto"/>
                                    <w:bottom w:val="none" w:sz="0" w:space="0" w:color="auto"/>
                                    <w:right w:val="none" w:sz="0" w:space="0" w:color="auto"/>
                                  </w:divBdr>
                                </w:div>
                                <w:div w:id="403994857">
                                  <w:marLeft w:val="0"/>
                                  <w:marRight w:val="0"/>
                                  <w:marTop w:val="0"/>
                                  <w:marBottom w:val="0"/>
                                  <w:divBdr>
                                    <w:top w:val="none" w:sz="0" w:space="0" w:color="auto"/>
                                    <w:left w:val="none" w:sz="0" w:space="0" w:color="auto"/>
                                    <w:bottom w:val="none" w:sz="0" w:space="0" w:color="auto"/>
                                    <w:right w:val="none" w:sz="0" w:space="0" w:color="auto"/>
                                  </w:divBdr>
                                </w:div>
                                <w:div w:id="967246513">
                                  <w:marLeft w:val="0"/>
                                  <w:marRight w:val="0"/>
                                  <w:marTop w:val="0"/>
                                  <w:marBottom w:val="0"/>
                                  <w:divBdr>
                                    <w:top w:val="none" w:sz="0" w:space="0" w:color="auto"/>
                                    <w:left w:val="none" w:sz="0" w:space="0" w:color="auto"/>
                                    <w:bottom w:val="none" w:sz="0" w:space="0" w:color="auto"/>
                                    <w:right w:val="none" w:sz="0" w:space="0" w:color="auto"/>
                                  </w:divBdr>
                                </w:div>
                                <w:div w:id="116983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039446">
      <w:bodyDiv w:val="1"/>
      <w:marLeft w:val="0"/>
      <w:marRight w:val="0"/>
      <w:marTop w:val="0"/>
      <w:marBottom w:val="0"/>
      <w:divBdr>
        <w:top w:val="none" w:sz="0" w:space="0" w:color="auto"/>
        <w:left w:val="none" w:sz="0" w:space="0" w:color="auto"/>
        <w:bottom w:val="none" w:sz="0" w:space="0" w:color="auto"/>
        <w:right w:val="none" w:sz="0" w:space="0" w:color="auto"/>
      </w:divBdr>
      <w:divsChild>
        <w:div w:id="884370594">
          <w:marLeft w:val="0"/>
          <w:marRight w:val="0"/>
          <w:marTop w:val="0"/>
          <w:marBottom w:val="0"/>
          <w:divBdr>
            <w:top w:val="none" w:sz="0" w:space="0" w:color="auto"/>
            <w:left w:val="none" w:sz="0" w:space="0" w:color="auto"/>
            <w:bottom w:val="none" w:sz="0" w:space="0" w:color="auto"/>
            <w:right w:val="none" w:sz="0" w:space="0" w:color="auto"/>
          </w:divBdr>
        </w:div>
        <w:div w:id="1361584248">
          <w:marLeft w:val="0"/>
          <w:marRight w:val="0"/>
          <w:marTop w:val="0"/>
          <w:marBottom w:val="0"/>
          <w:divBdr>
            <w:top w:val="none" w:sz="0" w:space="0" w:color="auto"/>
            <w:left w:val="none" w:sz="0" w:space="0" w:color="auto"/>
            <w:bottom w:val="none" w:sz="0" w:space="0" w:color="auto"/>
            <w:right w:val="none" w:sz="0" w:space="0" w:color="auto"/>
          </w:divBdr>
        </w:div>
      </w:divsChild>
    </w:div>
    <w:div w:id="714158642">
      <w:bodyDiv w:val="1"/>
      <w:marLeft w:val="0"/>
      <w:marRight w:val="0"/>
      <w:marTop w:val="0"/>
      <w:marBottom w:val="0"/>
      <w:divBdr>
        <w:top w:val="none" w:sz="0" w:space="0" w:color="auto"/>
        <w:left w:val="none" w:sz="0" w:space="0" w:color="auto"/>
        <w:bottom w:val="none" w:sz="0" w:space="0" w:color="auto"/>
        <w:right w:val="none" w:sz="0" w:space="0" w:color="auto"/>
      </w:divBdr>
    </w:div>
    <w:div w:id="716323701">
      <w:bodyDiv w:val="1"/>
      <w:marLeft w:val="0"/>
      <w:marRight w:val="0"/>
      <w:marTop w:val="0"/>
      <w:marBottom w:val="0"/>
      <w:divBdr>
        <w:top w:val="none" w:sz="0" w:space="0" w:color="auto"/>
        <w:left w:val="none" w:sz="0" w:space="0" w:color="auto"/>
        <w:bottom w:val="none" w:sz="0" w:space="0" w:color="auto"/>
        <w:right w:val="none" w:sz="0" w:space="0" w:color="auto"/>
      </w:divBdr>
    </w:div>
    <w:div w:id="722411814">
      <w:bodyDiv w:val="1"/>
      <w:marLeft w:val="0"/>
      <w:marRight w:val="0"/>
      <w:marTop w:val="0"/>
      <w:marBottom w:val="0"/>
      <w:divBdr>
        <w:top w:val="none" w:sz="0" w:space="0" w:color="auto"/>
        <w:left w:val="none" w:sz="0" w:space="0" w:color="auto"/>
        <w:bottom w:val="none" w:sz="0" w:space="0" w:color="auto"/>
        <w:right w:val="none" w:sz="0" w:space="0" w:color="auto"/>
      </w:divBdr>
      <w:divsChild>
        <w:div w:id="1418206291">
          <w:marLeft w:val="0"/>
          <w:marRight w:val="0"/>
          <w:marTop w:val="0"/>
          <w:marBottom w:val="0"/>
          <w:divBdr>
            <w:top w:val="none" w:sz="0" w:space="0" w:color="auto"/>
            <w:left w:val="none" w:sz="0" w:space="0" w:color="auto"/>
            <w:bottom w:val="none" w:sz="0" w:space="0" w:color="auto"/>
            <w:right w:val="none" w:sz="0" w:space="0" w:color="auto"/>
          </w:divBdr>
          <w:divsChild>
            <w:div w:id="1985625161">
              <w:marLeft w:val="0"/>
              <w:marRight w:val="0"/>
              <w:marTop w:val="0"/>
              <w:marBottom w:val="0"/>
              <w:divBdr>
                <w:top w:val="none" w:sz="0" w:space="0" w:color="auto"/>
                <w:left w:val="none" w:sz="0" w:space="0" w:color="auto"/>
                <w:bottom w:val="none" w:sz="0" w:space="0" w:color="auto"/>
                <w:right w:val="none" w:sz="0" w:space="0" w:color="auto"/>
              </w:divBdr>
              <w:divsChild>
                <w:div w:id="1033068260">
                  <w:marLeft w:val="0"/>
                  <w:marRight w:val="0"/>
                  <w:marTop w:val="0"/>
                  <w:marBottom w:val="0"/>
                  <w:divBdr>
                    <w:top w:val="none" w:sz="0" w:space="0" w:color="auto"/>
                    <w:left w:val="none" w:sz="0" w:space="0" w:color="auto"/>
                    <w:bottom w:val="none" w:sz="0" w:space="0" w:color="auto"/>
                    <w:right w:val="none" w:sz="0" w:space="0" w:color="auto"/>
                  </w:divBdr>
                  <w:divsChild>
                    <w:div w:id="150558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333596">
      <w:bodyDiv w:val="1"/>
      <w:marLeft w:val="0"/>
      <w:marRight w:val="0"/>
      <w:marTop w:val="0"/>
      <w:marBottom w:val="0"/>
      <w:divBdr>
        <w:top w:val="none" w:sz="0" w:space="0" w:color="auto"/>
        <w:left w:val="none" w:sz="0" w:space="0" w:color="auto"/>
        <w:bottom w:val="none" w:sz="0" w:space="0" w:color="auto"/>
        <w:right w:val="none" w:sz="0" w:space="0" w:color="auto"/>
      </w:divBdr>
    </w:div>
    <w:div w:id="727193879">
      <w:bodyDiv w:val="1"/>
      <w:marLeft w:val="0"/>
      <w:marRight w:val="0"/>
      <w:marTop w:val="0"/>
      <w:marBottom w:val="0"/>
      <w:divBdr>
        <w:top w:val="none" w:sz="0" w:space="0" w:color="auto"/>
        <w:left w:val="none" w:sz="0" w:space="0" w:color="auto"/>
        <w:bottom w:val="none" w:sz="0" w:space="0" w:color="auto"/>
        <w:right w:val="none" w:sz="0" w:space="0" w:color="auto"/>
      </w:divBdr>
    </w:div>
    <w:div w:id="733089896">
      <w:bodyDiv w:val="1"/>
      <w:marLeft w:val="0"/>
      <w:marRight w:val="0"/>
      <w:marTop w:val="0"/>
      <w:marBottom w:val="0"/>
      <w:divBdr>
        <w:top w:val="none" w:sz="0" w:space="0" w:color="auto"/>
        <w:left w:val="none" w:sz="0" w:space="0" w:color="auto"/>
        <w:bottom w:val="none" w:sz="0" w:space="0" w:color="auto"/>
        <w:right w:val="none" w:sz="0" w:space="0" w:color="auto"/>
      </w:divBdr>
      <w:divsChild>
        <w:div w:id="207226281">
          <w:marLeft w:val="0"/>
          <w:marRight w:val="0"/>
          <w:marTop w:val="0"/>
          <w:marBottom w:val="0"/>
          <w:divBdr>
            <w:top w:val="none" w:sz="0" w:space="0" w:color="auto"/>
            <w:left w:val="none" w:sz="0" w:space="0" w:color="auto"/>
            <w:bottom w:val="none" w:sz="0" w:space="0" w:color="auto"/>
            <w:right w:val="none" w:sz="0" w:space="0" w:color="auto"/>
          </w:divBdr>
          <w:divsChild>
            <w:div w:id="168911345">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 w:id="735476654">
      <w:bodyDiv w:val="1"/>
      <w:marLeft w:val="0"/>
      <w:marRight w:val="0"/>
      <w:marTop w:val="0"/>
      <w:marBottom w:val="0"/>
      <w:divBdr>
        <w:top w:val="none" w:sz="0" w:space="0" w:color="auto"/>
        <w:left w:val="none" w:sz="0" w:space="0" w:color="auto"/>
        <w:bottom w:val="none" w:sz="0" w:space="0" w:color="auto"/>
        <w:right w:val="none" w:sz="0" w:space="0" w:color="auto"/>
      </w:divBdr>
    </w:div>
    <w:div w:id="735661886">
      <w:bodyDiv w:val="1"/>
      <w:marLeft w:val="0"/>
      <w:marRight w:val="0"/>
      <w:marTop w:val="0"/>
      <w:marBottom w:val="0"/>
      <w:divBdr>
        <w:top w:val="none" w:sz="0" w:space="0" w:color="auto"/>
        <w:left w:val="none" w:sz="0" w:space="0" w:color="auto"/>
        <w:bottom w:val="none" w:sz="0" w:space="0" w:color="auto"/>
        <w:right w:val="none" w:sz="0" w:space="0" w:color="auto"/>
      </w:divBdr>
      <w:divsChild>
        <w:div w:id="1109621686">
          <w:marLeft w:val="0"/>
          <w:marRight w:val="0"/>
          <w:marTop w:val="0"/>
          <w:marBottom w:val="0"/>
          <w:divBdr>
            <w:top w:val="none" w:sz="0" w:space="0" w:color="auto"/>
            <w:left w:val="none" w:sz="0" w:space="0" w:color="auto"/>
            <w:bottom w:val="none" w:sz="0" w:space="0" w:color="auto"/>
            <w:right w:val="none" w:sz="0" w:space="0" w:color="auto"/>
          </w:divBdr>
          <w:divsChild>
            <w:div w:id="1981880840">
              <w:marLeft w:val="0"/>
              <w:marRight w:val="0"/>
              <w:marTop w:val="0"/>
              <w:marBottom w:val="0"/>
              <w:divBdr>
                <w:top w:val="none" w:sz="0" w:space="0" w:color="auto"/>
                <w:left w:val="none" w:sz="0" w:space="0" w:color="auto"/>
                <w:bottom w:val="none" w:sz="0" w:space="0" w:color="auto"/>
                <w:right w:val="none" w:sz="0" w:space="0" w:color="auto"/>
              </w:divBdr>
            </w:div>
          </w:divsChild>
        </w:div>
        <w:div w:id="1134762397">
          <w:marLeft w:val="0"/>
          <w:marRight w:val="0"/>
          <w:marTop w:val="0"/>
          <w:marBottom w:val="0"/>
          <w:divBdr>
            <w:top w:val="none" w:sz="0" w:space="0" w:color="auto"/>
            <w:left w:val="none" w:sz="0" w:space="0" w:color="auto"/>
            <w:bottom w:val="none" w:sz="0" w:space="0" w:color="auto"/>
            <w:right w:val="none" w:sz="0" w:space="0" w:color="auto"/>
          </w:divBdr>
          <w:divsChild>
            <w:div w:id="486945203">
              <w:marLeft w:val="0"/>
              <w:marRight w:val="0"/>
              <w:marTop w:val="0"/>
              <w:marBottom w:val="0"/>
              <w:divBdr>
                <w:top w:val="none" w:sz="0" w:space="0" w:color="auto"/>
                <w:left w:val="none" w:sz="0" w:space="0" w:color="auto"/>
                <w:bottom w:val="none" w:sz="0" w:space="0" w:color="auto"/>
                <w:right w:val="none" w:sz="0" w:space="0" w:color="auto"/>
              </w:divBdr>
              <w:divsChild>
                <w:div w:id="5674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15720">
      <w:bodyDiv w:val="1"/>
      <w:marLeft w:val="0"/>
      <w:marRight w:val="0"/>
      <w:marTop w:val="0"/>
      <w:marBottom w:val="0"/>
      <w:divBdr>
        <w:top w:val="none" w:sz="0" w:space="0" w:color="auto"/>
        <w:left w:val="none" w:sz="0" w:space="0" w:color="auto"/>
        <w:bottom w:val="none" w:sz="0" w:space="0" w:color="auto"/>
        <w:right w:val="none" w:sz="0" w:space="0" w:color="auto"/>
      </w:divBdr>
    </w:div>
    <w:div w:id="739407304">
      <w:bodyDiv w:val="1"/>
      <w:marLeft w:val="0"/>
      <w:marRight w:val="0"/>
      <w:marTop w:val="0"/>
      <w:marBottom w:val="0"/>
      <w:divBdr>
        <w:top w:val="none" w:sz="0" w:space="0" w:color="auto"/>
        <w:left w:val="none" w:sz="0" w:space="0" w:color="auto"/>
        <w:bottom w:val="none" w:sz="0" w:space="0" w:color="auto"/>
        <w:right w:val="none" w:sz="0" w:space="0" w:color="auto"/>
      </w:divBdr>
    </w:div>
    <w:div w:id="740714334">
      <w:bodyDiv w:val="1"/>
      <w:marLeft w:val="0"/>
      <w:marRight w:val="0"/>
      <w:marTop w:val="0"/>
      <w:marBottom w:val="0"/>
      <w:divBdr>
        <w:top w:val="none" w:sz="0" w:space="0" w:color="auto"/>
        <w:left w:val="none" w:sz="0" w:space="0" w:color="auto"/>
        <w:bottom w:val="none" w:sz="0" w:space="0" w:color="auto"/>
        <w:right w:val="none" w:sz="0" w:space="0" w:color="auto"/>
      </w:divBdr>
      <w:divsChild>
        <w:div w:id="517695095">
          <w:marLeft w:val="0"/>
          <w:marRight w:val="0"/>
          <w:marTop w:val="0"/>
          <w:marBottom w:val="0"/>
          <w:divBdr>
            <w:top w:val="none" w:sz="0" w:space="0" w:color="auto"/>
            <w:left w:val="none" w:sz="0" w:space="0" w:color="auto"/>
            <w:bottom w:val="none" w:sz="0" w:space="0" w:color="auto"/>
            <w:right w:val="none" w:sz="0" w:space="0" w:color="auto"/>
          </w:divBdr>
          <w:divsChild>
            <w:div w:id="831872734">
              <w:marLeft w:val="0"/>
              <w:marRight w:val="0"/>
              <w:marTop w:val="0"/>
              <w:marBottom w:val="0"/>
              <w:divBdr>
                <w:top w:val="none" w:sz="0" w:space="0" w:color="auto"/>
                <w:left w:val="none" w:sz="0" w:space="0" w:color="auto"/>
                <w:bottom w:val="none" w:sz="0" w:space="0" w:color="auto"/>
                <w:right w:val="none" w:sz="0" w:space="0" w:color="auto"/>
              </w:divBdr>
              <w:divsChild>
                <w:div w:id="115103071">
                  <w:marLeft w:val="0"/>
                  <w:marRight w:val="0"/>
                  <w:marTop w:val="0"/>
                  <w:marBottom w:val="0"/>
                  <w:divBdr>
                    <w:top w:val="none" w:sz="0" w:space="0" w:color="auto"/>
                    <w:left w:val="none" w:sz="0" w:space="0" w:color="auto"/>
                    <w:bottom w:val="none" w:sz="0" w:space="0" w:color="auto"/>
                    <w:right w:val="none" w:sz="0" w:space="0" w:color="auto"/>
                  </w:divBdr>
                  <w:divsChild>
                    <w:div w:id="2069381889">
                      <w:marLeft w:val="0"/>
                      <w:marRight w:val="0"/>
                      <w:marTop w:val="0"/>
                      <w:marBottom w:val="0"/>
                      <w:divBdr>
                        <w:top w:val="none" w:sz="0" w:space="0" w:color="auto"/>
                        <w:left w:val="none" w:sz="0" w:space="0" w:color="auto"/>
                        <w:bottom w:val="none" w:sz="0" w:space="0" w:color="auto"/>
                        <w:right w:val="none" w:sz="0" w:space="0" w:color="auto"/>
                      </w:divBdr>
                      <w:divsChild>
                        <w:div w:id="512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29228">
          <w:marLeft w:val="0"/>
          <w:marRight w:val="0"/>
          <w:marTop w:val="0"/>
          <w:marBottom w:val="0"/>
          <w:divBdr>
            <w:top w:val="none" w:sz="0" w:space="0" w:color="auto"/>
            <w:left w:val="none" w:sz="0" w:space="0" w:color="auto"/>
            <w:bottom w:val="none" w:sz="0" w:space="0" w:color="auto"/>
            <w:right w:val="none" w:sz="0" w:space="0" w:color="auto"/>
          </w:divBdr>
          <w:divsChild>
            <w:div w:id="509030115">
              <w:marLeft w:val="0"/>
              <w:marRight w:val="0"/>
              <w:marTop w:val="0"/>
              <w:marBottom w:val="0"/>
              <w:divBdr>
                <w:top w:val="none" w:sz="0" w:space="0" w:color="auto"/>
                <w:left w:val="none" w:sz="0" w:space="0" w:color="auto"/>
                <w:bottom w:val="none" w:sz="0" w:space="0" w:color="auto"/>
                <w:right w:val="none" w:sz="0" w:space="0" w:color="auto"/>
              </w:divBdr>
              <w:divsChild>
                <w:div w:id="1704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559996">
      <w:bodyDiv w:val="1"/>
      <w:marLeft w:val="0"/>
      <w:marRight w:val="0"/>
      <w:marTop w:val="0"/>
      <w:marBottom w:val="0"/>
      <w:divBdr>
        <w:top w:val="none" w:sz="0" w:space="0" w:color="auto"/>
        <w:left w:val="none" w:sz="0" w:space="0" w:color="auto"/>
        <w:bottom w:val="none" w:sz="0" w:space="0" w:color="auto"/>
        <w:right w:val="none" w:sz="0" w:space="0" w:color="auto"/>
      </w:divBdr>
    </w:div>
    <w:div w:id="746541229">
      <w:bodyDiv w:val="1"/>
      <w:marLeft w:val="0"/>
      <w:marRight w:val="0"/>
      <w:marTop w:val="0"/>
      <w:marBottom w:val="0"/>
      <w:divBdr>
        <w:top w:val="none" w:sz="0" w:space="0" w:color="auto"/>
        <w:left w:val="none" w:sz="0" w:space="0" w:color="auto"/>
        <w:bottom w:val="none" w:sz="0" w:space="0" w:color="auto"/>
        <w:right w:val="none" w:sz="0" w:space="0" w:color="auto"/>
      </w:divBdr>
    </w:div>
    <w:div w:id="751127701">
      <w:bodyDiv w:val="1"/>
      <w:marLeft w:val="0"/>
      <w:marRight w:val="0"/>
      <w:marTop w:val="0"/>
      <w:marBottom w:val="0"/>
      <w:divBdr>
        <w:top w:val="none" w:sz="0" w:space="0" w:color="auto"/>
        <w:left w:val="none" w:sz="0" w:space="0" w:color="auto"/>
        <w:bottom w:val="none" w:sz="0" w:space="0" w:color="auto"/>
        <w:right w:val="none" w:sz="0" w:space="0" w:color="auto"/>
      </w:divBdr>
      <w:divsChild>
        <w:div w:id="2147116343">
          <w:marLeft w:val="0"/>
          <w:marRight w:val="0"/>
          <w:marTop w:val="0"/>
          <w:marBottom w:val="0"/>
          <w:divBdr>
            <w:top w:val="none" w:sz="0" w:space="0" w:color="auto"/>
            <w:left w:val="none" w:sz="0" w:space="0" w:color="auto"/>
            <w:bottom w:val="none" w:sz="0" w:space="0" w:color="auto"/>
            <w:right w:val="none" w:sz="0" w:space="0" w:color="auto"/>
          </w:divBdr>
        </w:div>
        <w:div w:id="159778000">
          <w:marLeft w:val="0"/>
          <w:marRight w:val="0"/>
          <w:marTop w:val="0"/>
          <w:marBottom w:val="0"/>
          <w:divBdr>
            <w:top w:val="none" w:sz="0" w:space="0" w:color="auto"/>
            <w:left w:val="none" w:sz="0" w:space="0" w:color="auto"/>
            <w:bottom w:val="none" w:sz="0" w:space="0" w:color="auto"/>
            <w:right w:val="none" w:sz="0" w:space="0" w:color="auto"/>
          </w:divBdr>
          <w:divsChild>
            <w:div w:id="370154688">
              <w:marLeft w:val="0"/>
              <w:marRight w:val="0"/>
              <w:marTop w:val="0"/>
              <w:marBottom w:val="0"/>
              <w:divBdr>
                <w:top w:val="none" w:sz="0" w:space="0" w:color="auto"/>
                <w:left w:val="none" w:sz="0" w:space="0" w:color="auto"/>
                <w:bottom w:val="none" w:sz="0" w:space="0" w:color="auto"/>
                <w:right w:val="none" w:sz="0" w:space="0" w:color="auto"/>
              </w:divBdr>
            </w:div>
            <w:div w:id="234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1662">
      <w:bodyDiv w:val="1"/>
      <w:marLeft w:val="0"/>
      <w:marRight w:val="0"/>
      <w:marTop w:val="0"/>
      <w:marBottom w:val="0"/>
      <w:divBdr>
        <w:top w:val="none" w:sz="0" w:space="0" w:color="auto"/>
        <w:left w:val="none" w:sz="0" w:space="0" w:color="auto"/>
        <w:bottom w:val="none" w:sz="0" w:space="0" w:color="auto"/>
        <w:right w:val="none" w:sz="0" w:space="0" w:color="auto"/>
      </w:divBdr>
      <w:divsChild>
        <w:div w:id="993949605">
          <w:marLeft w:val="0"/>
          <w:marRight w:val="0"/>
          <w:marTop w:val="0"/>
          <w:marBottom w:val="0"/>
          <w:divBdr>
            <w:top w:val="none" w:sz="0" w:space="0" w:color="auto"/>
            <w:left w:val="none" w:sz="0" w:space="0" w:color="auto"/>
            <w:bottom w:val="none" w:sz="0" w:space="0" w:color="auto"/>
            <w:right w:val="none" w:sz="0" w:space="0" w:color="auto"/>
          </w:divBdr>
        </w:div>
      </w:divsChild>
    </w:div>
    <w:div w:id="757292925">
      <w:bodyDiv w:val="1"/>
      <w:marLeft w:val="0"/>
      <w:marRight w:val="0"/>
      <w:marTop w:val="0"/>
      <w:marBottom w:val="0"/>
      <w:divBdr>
        <w:top w:val="none" w:sz="0" w:space="0" w:color="auto"/>
        <w:left w:val="none" w:sz="0" w:space="0" w:color="auto"/>
        <w:bottom w:val="none" w:sz="0" w:space="0" w:color="auto"/>
        <w:right w:val="none" w:sz="0" w:space="0" w:color="auto"/>
      </w:divBdr>
    </w:div>
    <w:div w:id="757559497">
      <w:bodyDiv w:val="1"/>
      <w:marLeft w:val="0"/>
      <w:marRight w:val="0"/>
      <w:marTop w:val="0"/>
      <w:marBottom w:val="0"/>
      <w:divBdr>
        <w:top w:val="none" w:sz="0" w:space="0" w:color="auto"/>
        <w:left w:val="none" w:sz="0" w:space="0" w:color="auto"/>
        <w:bottom w:val="none" w:sz="0" w:space="0" w:color="auto"/>
        <w:right w:val="none" w:sz="0" w:space="0" w:color="auto"/>
      </w:divBdr>
    </w:div>
    <w:div w:id="758907647">
      <w:bodyDiv w:val="1"/>
      <w:marLeft w:val="0"/>
      <w:marRight w:val="0"/>
      <w:marTop w:val="0"/>
      <w:marBottom w:val="0"/>
      <w:divBdr>
        <w:top w:val="none" w:sz="0" w:space="0" w:color="auto"/>
        <w:left w:val="none" w:sz="0" w:space="0" w:color="auto"/>
        <w:bottom w:val="none" w:sz="0" w:space="0" w:color="auto"/>
        <w:right w:val="none" w:sz="0" w:space="0" w:color="auto"/>
      </w:divBdr>
      <w:divsChild>
        <w:div w:id="419447156">
          <w:marLeft w:val="0"/>
          <w:marRight w:val="0"/>
          <w:marTop w:val="0"/>
          <w:marBottom w:val="0"/>
          <w:divBdr>
            <w:top w:val="none" w:sz="0" w:space="0" w:color="auto"/>
            <w:left w:val="none" w:sz="0" w:space="0" w:color="auto"/>
            <w:bottom w:val="none" w:sz="0" w:space="0" w:color="auto"/>
            <w:right w:val="none" w:sz="0" w:space="0" w:color="auto"/>
          </w:divBdr>
          <w:divsChild>
            <w:div w:id="676923770">
              <w:marLeft w:val="0"/>
              <w:marRight w:val="0"/>
              <w:marTop w:val="0"/>
              <w:marBottom w:val="0"/>
              <w:divBdr>
                <w:top w:val="none" w:sz="0" w:space="0" w:color="auto"/>
                <w:left w:val="none" w:sz="0" w:space="0" w:color="auto"/>
                <w:bottom w:val="none" w:sz="0" w:space="0" w:color="auto"/>
                <w:right w:val="none" w:sz="0" w:space="0" w:color="auto"/>
              </w:divBdr>
              <w:divsChild>
                <w:div w:id="1203904546">
                  <w:marLeft w:val="0"/>
                  <w:marRight w:val="0"/>
                  <w:marTop w:val="0"/>
                  <w:marBottom w:val="0"/>
                  <w:divBdr>
                    <w:top w:val="none" w:sz="0" w:space="0" w:color="auto"/>
                    <w:left w:val="none" w:sz="0" w:space="0" w:color="auto"/>
                    <w:bottom w:val="none" w:sz="0" w:space="0" w:color="auto"/>
                    <w:right w:val="none" w:sz="0" w:space="0" w:color="auto"/>
                  </w:divBdr>
                </w:div>
                <w:div w:id="2083289838">
                  <w:marLeft w:val="0"/>
                  <w:marRight w:val="0"/>
                  <w:marTop w:val="0"/>
                  <w:marBottom w:val="0"/>
                  <w:divBdr>
                    <w:top w:val="none" w:sz="0" w:space="0" w:color="auto"/>
                    <w:left w:val="none" w:sz="0" w:space="0" w:color="auto"/>
                    <w:bottom w:val="none" w:sz="0" w:space="0" w:color="auto"/>
                    <w:right w:val="none" w:sz="0" w:space="0" w:color="auto"/>
                  </w:divBdr>
                  <w:divsChild>
                    <w:div w:id="15238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33169">
              <w:marLeft w:val="0"/>
              <w:marRight w:val="0"/>
              <w:marTop w:val="0"/>
              <w:marBottom w:val="0"/>
              <w:divBdr>
                <w:top w:val="none" w:sz="0" w:space="0" w:color="auto"/>
                <w:left w:val="none" w:sz="0" w:space="0" w:color="auto"/>
                <w:bottom w:val="none" w:sz="0" w:space="0" w:color="auto"/>
                <w:right w:val="none" w:sz="0" w:space="0" w:color="auto"/>
              </w:divBdr>
            </w:div>
          </w:divsChild>
        </w:div>
        <w:div w:id="1122579624">
          <w:marLeft w:val="0"/>
          <w:marRight w:val="0"/>
          <w:marTop w:val="0"/>
          <w:marBottom w:val="0"/>
          <w:divBdr>
            <w:top w:val="none" w:sz="0" w:space="0" w:color="auto"/>
            <w:left w:val="none" w:sz="0" w:space="0" w:color="auto"/>
            <w:bottom w:val="none" w:sz="0" w:space="0" w:color="auto"/>
            <w:right w:val="none" w:sz="0" w:space="0" w:color="auto"/>
          </w:divBdr>
          <w:divsChild>
            <w:div w:id="531840793">
              <w:marLeft w:val="0"/>
              <w:marRight w:val="0"/>
              <w:marTop w:val="0"/>
              <w:marBottom w:val="0"/>
              <w:divBdr>
                <w:top w:val="none" w:sz="0" w:space="0" w:color="auto"/>
                <w:left w:val="none" w:sz="0" w:space="0" w:color="auto"/>
                <w:bottom w:val="none" w:sz="0" w:space="0" w:color="auto"/>
                <w:right w:val="none" w:sz="0" w:space="0" w:color="auto"/>
              </w:divBdr>
              <w:divsChild>
                <w:div w:id="182980947">
                  <w:marLeft w:val="0"/>
                  <w:marRight w:val="0"/>
                  <w:marTop w:val="0"/>
                  <w:marBottom w:val="0"/>
                  <w:divBdr>
                    <w:top w:val="none" w:sz="0" w:space="0" w:color="auto"/>
                    <w:left w:val="none" w:sz="0" w:space="0" w:color="auto"/>
                    <w:bottom w:val="none" w:sz="0" w:space="0" w:color="auto"/>
                    <w:right w:val="none" w:sz="0" w:space="0" w:color="auto"/>
                  </w:divBdr>
                  <w:divsChild>
                    <w:div w:id="1013603885">
                      <w:marLeft w:val="0"/>
                      <w:marRight w:val="0"/>
                      <w:marTop w:val="0"/>
                      <w:marBottom w:val="0"/>
                      <w:divBdr>
                        <w:top w:val="none" w:sz="0" w:space="0" w:color="auto"/>
                        <w:left w:val="none" w:sz="0" w:space="0" w:color="auto"/>
                        <w:bottom w:val="none" w:sz="0" w:space="0" w:color="auto"/>
                        <w:right w:val="none" w:sz="0" w:space="0" w:color="auto"/>
                      </w:divBdr>
                    </w:div>
                  </w:divsChild>
                </w:div>
                <w:div w:id="4995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0734">
          <w:marLeft w:val="0"/>
          <w:marRight w:val="0"/>
          <w:marTop w:val="0"/>
          <w:marBottom w:val="0"/>
          <w:divBdr>
            <w:top w:val="none" w:sz="0" w:space="0" w:color="auto"/>
            <w:left w:val="none" w:sz="0" w:space="0" w:color="auto"/>
            <w:bottom w:val="none" w:sz="0" w:space="0" w:color="auto"/>
            <w:right w:val="none" w:sz="0" w:space="0" w:color="auto"/>
          </w:divBdr>
          <w:divsChild>
            <w:div w:id="587858375">
              <w:marLeft w:val="0"/>
              <w:marRight w:val="0"/>
              <w:marTop w:val="0"/>
              <w:marBottom w:val="0"/>
              <w:divBdr>
                <w:top w:val="none" w:sz="0" w:space="0" w:color="auto"/>
                <w:left w:val="none" w:sz="0" w:space="0" w:color="auto"/>
                <w:bottom w:val="none" w:sz="0" w:space="0" w:color="auto"/>
                <w:right w:val="none" w:sz="0" w:space="0" w:color="auto"/>
              </w:divBdr>
            </w:div>
            <w:div w:id="1996642483">
              <w:marLeft w:val="0"/>
              <w:marRight w:val="0"/>
              <w:marTop w:val="0"/>
              <w:marBottom w:val="0"/>
              <w:divBdr>
                <w:top w:val="none" w:sz="0" w:space="0" w:color="auto"/>
                <w:left w:val="none" w:sz="0" w:space="0" w:color="auto"/>
                <w:bottom w:val="none" w:sz="0" w:space="0" w:color="auto"/>
                <w:right w:val="none" w:sz="0" w:space="0" w:color="auto"/>
              </w:divBdr>
              <w:divsChild>
                <w:div w:id="551624976">
                  <w:marLeft w:val="0"/>
                  <w:marRight w:val="0"/>
                  <w:marTop w:val="0"/>
                  <w:marBottom w:val="0"/>
                  <w:divBdr>
                    <w:top w:val="none" w:sz="0" w:space="0" w:color="auto"/>
                    <w:left w:val="none" w:sz="0" w:space="0" w:color="auto"/>
                    <w:bottom w:val="none" w:sz="0" w:space="0" w:color="auto"/>
                    <w:right w:val="none" w:sz="0" w:space="0" w:color="auto"/>
                  </w:divBdr>
                  <w:divsChild>
                    <w:div w:id="1865434151">
                      <w:marLeft w:val="0"/>
                      <w:marRight w:val="0"/>
                      <w:marTop w:val="0"/>
                      <w:marBottom w:val="0"/>
                      <w:divBdr>
                        <w:top w:val="none" w:sz="0" w:space="0" w:color="auto"/>
                        <w:left w:val="none" w:sz="0" w:space="0" w:color="auto"/>
                        <w:bottom w:val="none" w:sz="0" w:space="0" w:color="auto"/>
                        <w:right w:val="none" w:sz="0" w:space="0" w:color="auto"/>
                      </w:divBdr>
                    </w:div>
                  </w:divsChild>
                </w:div>
                <w:div w:id="11756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3868">
          <w:marLeft w:val="0"/>
          <w:marRight w:val="0"/>
          <w:marTop w:val="0"/>
          <w:marBottom w:val="0"/>
          <w:divBdr>
            <w:top w:val="none" w:sz="0" w:space="0" w:color="auto"/>
            <w:left w:val="none" w:sz="0" w:space="0" w:color="auto"/>
            <w:bottom w:val="none" w:sz="0" w:space="0" w:color="auto"/>
            <w:right w:val="none" w:sz="0" w:space="0" w:color="auto"/>
          </w:divBdr>
          <w:divsChild>
            <w:div w:id="563877779">
              <w:marLeft w:val="0"/>
              <w:marRight w:val="0"/>
              <w:marTop w:val="0"/>
              <w:marBottom w:val="0"/>
              <w:divBdr>
                <w:top w:val="none" w:sz="0" w:space="0" w:color="auto"/>
                <w:left w:val="none" w:sz="0" w:space="0" w:color="auto"/>
                <w:bottom w:val="none" w:sz="0" w:space="0" w:color="auto"/>
                <w:right w:val="none" w:sz="0" w:space="0" w:color="auto"/>
              </w:divBdr>
              <w:divsChild>
                <w:div w:id="795757682">
                  <w:marLeft w:val="0"/>
                  <w:marRight w:val="0"/>
                  <w:marTop w:val="0"/>
                  <w:marBottom w:val="0"/>
                  <w:divBdr>
                    <w:top w:val="none" w:sz="0" w:space="0" w:color="auto"/>
                    <w:left w:val="none" w:sz="0" w:space="0" w:color="auto"/>
                    <w:bottom w:val="none" w:sz="0" w:space="0" w:color="auto"/>
                    <w:right w:val="none" w:sz="0" w:space="0" w:color="auto"/>
                  </w:divBdr>
                </w:div>
                <w:div w:id="1817867817">
                  <w:marLeft w:val="0"/>
                  <w:marRight w:val="0"/>
                  <w:marTop w:val="0"/>
                  <w:marBottom w:val="0"/>
                  <w:divBdr>
                    <w:top w:val="none" w:sz="0" w:space="0" w:color="auto"/>
                    <w:left w:val="none" w:sz="0" w:space="0" w:color="auto"/>
                    <w:bottom w:val="none" w:sz="0" w:space="0" w:color="auto"/>
                    <w:right w:val="none" w:sz="0" w:space="0" w:color="auto"/>
                  </w:divBdr>
                  <w:divsChild>
                    <w:div w:id="14258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5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14318">
      <w:bodyDiv w:val="1"/>
      <w:marLeft w:val="0"/>
      <w:marRight w:val="0"/>
      <w:marTop w:val="0"/>
      <w:marBottom w:val="0"/>
      <w:divBdr>
        <w:top w:val="none" w:sz="0" w:space="0" w:color="auto"/>
        <w:left w:val="none" w:sz="0" w:space="0" w:color="auto"/>
        <w:bottom w:val="none" w:sz="0" w:space="0" w:color="auto"/>
        <w:right w:val="none" w:sz="0" w:space="0" w:color="auto"/>
      </w:divBdr>
    </w:div>
    <w:div w:id="767046222">
      <w:bodyDiv w:val="1"/>
      <w:marLeft w:val="0"/>
      <w:marRight w:val="0"/>
      <w:marTop w:val="0"/>
      <w:marBottom w:val="0"/>
      <w:divBdr>
        <w:top w:val="none" w:sz="0" w:space="0" w:color="auto"/>
        <w:left w:val="none" w:sz="0" w:space="0" w:color="auto"/>
        <w:bottom w:val="none" w:sz="0" w:space="0" w:color="auto"/>
        <w:right w:val="none" w:sz="0" w:space="0" w:color="auto"/>
      </w:divBdr>
      <w:divsChild>
        <w:div w:id="1344936834">
          <w:marLeft w:val="0"/>
          <w:marRight w:val="0"/>
          <w:marTop w:val="0"/>
          <w:marBottom w:val="0"/>
          <w:divBdr>
            <w:top w:val="none" w:sz="0" w:space="0" w:color="auto"/>
            <w:left w:val="none" w:sz="0" w:space="0" w:color="auto"/>
            <w:bottom w:val="none" w:sz="0" w:space="0" w:color="auto"/>
            <w:right w:val="none" w:sz="0" w:space="0" w:color="auto"/>
          </w:divBdr>
          <w:divsChild>
            <w:div w:id="1294291772">
              <w:marLeft w:val="0"/>
              <w:marRight w:val="0"/>
              <w:marTop w:val="0"/>
              <w:marBottom w:val="0"/>
              <w:divBdr>
                <w:top w:val="none" w:sz="0" w:space="0" w:color="auto"/>
                <w:left w:val="none" w:sz="0" w:space="0" w:color="auto"/>
                <w:bottom w:val="none" w:sz="0" w:space="0" w:color="auto"/>
                <w:right w:val="none" w:sz="0" w:space="0" w:color="auto"/>
              </w:divBdr>
            </w:div>
          </w:divsChild>
        </w:div>
        <w:div w:id="1361129623">
          <w:marLeft w:val="0"/>
          <w:marRight w:val="0"/>
          <w:marTop w:val="0"/>
          <w:marBottom w:val="0"/>
          <w:divBdr>
            <w:top w:val="none" w:sz="0" w:space="0" w:color="auto"/>
            <w:left w:val="none" w:sz="0" w:space="0" w:color="auto"/>
            <w:bottom w:val="none" w:sz="0" w:space="0" w:color="auto"/>
            <w:right w:val="none" w:sz="0" w:space="0" w:color="auto"/>
          </w:divBdr>
          <w:divsChild>
            <w:div w:id="88283964">
              <w:marLeft w:val="0"/>
              <w:marRight w:val="0"/>
              <w:marTop w:val="0"/>
              <w:marBottom w:val="0"/>
              <w:divBdr>
                <w:top w:val="none" w:sz="0" w:space="0" w:color="auto"/>
                <w:left w:val="none" w:sz="0" w:space="0" w:color="auto"/>
                <w:bottom w:val="none" w:sz="0" w:space="0" w:color="auto"/>
                <w:right w:val="none" w:sz="0" w:space="0" w:color="auto"/>
              </w:divBdr>
              <w:divsChild>
                <w:div w:id="1115490485">
                  <w:marLeft w:val="0"/>
                  <w:marRight w:val="0"/>
                  <w:marTop w:val="0"/>
                  <w:marBottom w:val="0"/>
                  <w:divBdr>
                    <w:top w:val="none" w:sz="0" w:space="0" w:color="auto"/>
                    <w:left w:val="none" w:sz="0" w:space="0" w:color="auto"/>
                    <w:bottom w:val="none" w:sz="0" w:space="0" w:color="auto"/>
                    <w:right w:val="none" w:sz="0" w:space="0" w:color="auto"/>
                  </w:divBdr>
                  <w:divsChild>
                    <w:div w:id="205468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31928">
      <w:bodyDiv w:val="1"/>
      <w:marLeft w:val="0"/>
      <w:marRight w:val="0"/>
      <w:marTop w:val="0"/>
      <w:marBottom w:val="0"/>
      <w:divBdr>
        <w:top w:val="none" w:sz="0" w:space="0" w:color="auto"/>
        <w:left w:val="none" w:sz="0" w:space="0" w:color="auto"/>
        <w:bottom w:val="none" w:sz="0" w:space="0" w:color="auto"/>
        <w:right w:val="none" w:sz="0" w:space="0" w:color="auto"/>
      </w:divBdr>
      <w:divsChild>
        <w:div w:id="682585470">
          <w:marLeft w:val="0"/>
          <w:marRight w:val="0"/>
          <w:marTop w:val="0"/>
          <w:marBottom w:val="0"/>
          <w:divBdr>
            <w:top w:val="none" w:sz="0" w:space="0" w:color="auto"/>
            <w:left w:val="none" w:sz="0" w:space="0" w:color="auto"/>
            <w:bottom w:val="none" w:sz="0" w:space="0" w:color="auto"/>
            <w:right w:val="none" w:sz="0" w:space="0" w:color="auto"/>
          </w:divBdr>
          <w:divsChild>
            <w:div w:id="661154574">
              <w:marLeft w:val="0"/>
              <w:marRight w:val="0"/>
              <w:marTop w:val="0"/>
              <w:marBottom w:val="0"/>
              <w:divBdr>
                <w:top w:val="none" w:sz="0" w:space="0" w:color="auto"/>
                <w:left w:val="none" w:sz="0" w:space="0" w:color="auto"/>
                <w:bottom w:val="none" w:sz="0" w:space="0" w:color="auto"/>
                <w:right w:val="none" w:sz="0" w:space="0" w:color="auto"/>
              </w:divBdr>
            </w:div>
          </w:divsChild>
        </w:div>
        <w:div w:id="705718974">
          <w:marLeft w:val="0"/>
          <w:marRight w:val="0"/>
          <w:marTop w:val="0"/>
          <w:marBottom w:val="0"/>
          <w:divBdr>
            <w:top w:val="none" w:sz="0" w:space="0" w:color="auto"/>
            <w:left w:val="none" w:sz="0" w:space="0" w:color="auto"/>
            <w:bottom w:val="none" w:sz="0" w:space="0" w:color="auto"/>
            <w:right w:val="none" w:sz="0" w:space="0" w:color="auto"/>
          </w:divBdr>
          <w:divsChild>
            <w:div w:id="105126751">
              <w:marLeft w:val="0"/>
              <w:marRight w:val="0"/>
              <w:marTop w:val="0"/>
              <w:marBottom w:val="0"/>
              <w:divBdr>
                <w:top w:val="none" w:sz="0" w:space="0" w:color="auto"/>
                <w:left w:val="none" w:sz="0" w:space="0" w:color="auto"/>
                <w:bottom w:val="none" w:sz="0" w:space="0" w:color="auto"/>
                <w:right w:val="none" w:sz="0" w:space="0" w:color="auto"/>
              </w:divBdr>
              <w:divsChild>
                <w:div w:id="750544193">
                  <w:marLeft w:val="0"/>
                  <w:marRight w:val="0"/>
                  <w:marTop w:val="0"/>
                  <w:marBottom w:val="0"/>
                  <w:divBdr>
                    <w:top w:val="none" w:sz="0" w:space="0" w:color="auto"/>
                    <w:left w:val="none" w:sz="0" w:space="0" w:color="auto"/>
                    <w:bottom w:val="none" w:sz="0" w:space="0" w:color="auto"/>
                    <w:right w:val="none" w:sz="0" w:space="0" w:color="auto"/>
                  </w:divBdr>
                  <w:divsChild>
                    <w:div w:id="324826575">
                      <w:marLeft w:val="0"/>
                      <w:marRight w:val="0"/>
                      <w:marTop w:val="0"/>
                      <w:marBottom w:val="0"/>
                      <w:divBdr>
                        <w:top w:val="none" w:sz="0" w:space="0" w:color="auto"/>
                        <w:left w:val="none" w:sz="0" w:space="0" w:color="auto"/>
                        <w:bottom w:val="none" w:sz="0" w:space="0" w:color="auto"/>
                        <w:right w:val="none" w:sz="0" w:space="0" w:color="auto"/>
                      </w:divBdr>
                      <w:divsChild>
                        <w:div w:id="1781798373">
                          <w:marLeft w:val="0"/>
                          <w:marRight w:val="0"/>
                          <w:marTop w:val="0"/>
                          <w:marBottom w:val="0"/>
                          <w:divBdr>
                            <w:top w:val="none" w:sz="0" w:space="0" w:color="auto"/>
                            <w:left w:val="none" w:sz="0" w:space="0" w:color="auto"/>
                            <w:bottom w:val="none" w:sz="0" w:space="0" w:color="auto"/>
                            <w:right w:val="none" w:sz="0" w:space="0" w:color="auto"/>
                          </w:divBdr>
                        </w:div>
                      </w:divsChild>
                    </w:div>
                    <w:div w:id="461188942">
                      <w:marLeft w:val="0"/>
                      <w:marRight w:val="0"/>
                      <w:marTop w:val="0"/>
                      <w:marBottom w:val="0"/>
                      <w:divBdr>
                        <w:top w:val="none" w:sz="0" w:space="0" w:color="auto"/>
                        <w:left w:val="none" w:sz="0" w:space="0" w:color="auto"/>
                        <w:bottom w:val="none" w:sz="0" w:space="0" w:color="auto"/>
                        <w:right w:val="none" w:sz="0" w:space="0" w:color="auto"/>
                      </w:divBdr>
                      <w:divsChild>
                        <w:div w:id="208360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9203">
          <w:marLeft w:val="0"/>
          <w:marRight w:val="0"/>
          <w:marTop w:val="0"/>
          <w:marBottom w:val="0"/>
          <w:divBdr>
            <w:top w:val="none" w:sz="0" w:space="0" w:color="auto"/>
            <w:left w:val="none" w:sz="0" w:space="0" w:color="auto"/>
            <w:bottom w:val="none" w:sz="0" w:space="0" w:color="auto"/>
            <w:right w:val="none" w:sz="0" w:space="0" w:color="auto"/>
          </w:divBdr>
          <w:divsChild>
            <w:div w:id="2067677824">
              <w:marLeft w:val="0"/>
              <w:marRight w:val="0"/>
              <w:marTop w:val="0"/>
              <w:marBottom w:val="0"/>
              <w:divBdr>
                <w:top w:val="none" w:sz="0" w:space="0" w:color="auto"/>
                <w:left w:val="none" w:sz="0" w:space="0" w:color="auto"/>
                <w:bottom w:val="none" w:sz="0" w:space="0" w:color="auto"/>
                <w:right w:val="none" w:sz="0" w:space="0" w:color="auto"/>
              </w:divBdr>
              <w:divsChild>
                <w:div w:id="815411387">
                  <w:marLeft w:val="0"/>
                  <w:marRight w:val="0"/>
                  <w:marTop w:val="0"/>
                  <w:marBottom w:val="0"/>
                  <w:divBdr>
                    <w:top w:val="none" w:sz="0" w:space="0" w:color="auto"/>
                    <w:left w:val="none" w:sz="0" w:space="0" w:color="auto"/>
                    <w:bottom w:val="none" w:sz="0" w:space="0" w:color="auto"/>
                    <w:right w:val="none" w:sz="0" w:space="0" w:color="auto"/>
                  </w:divBdr>
                  <w:divsChild>
                    <w:div w:id="1912154780">
                      <w:marLeft w:val="0"/>
                      <w:marRight w:val="0"/>
                      <w:marTop w:val="0"/>
                      <w:marBottom w:val="0"/>
                      <w:divBdr>
                        <w:top w:val="none" w:sz="0" w:space="0" w:color="auto"/>
                        <w:left w:val="none" w:sz="0" w:space="0" w:color="auto"/>
                        <w:bottom w:val="none" w:sz="0" w:space="0" w:color="auto"/>
                        <w:right w:val="none" w:sz="0" w:space="0" w:color="auto"/>
                      </w:divBdr>
                      <w:divsChild>
                        <w:div w:id="320738180">
                          <w:marLeft w:val="0"/>
                          <w:marRight w:val="0"/>
                          <w:marTop w:val="0"/>
                          <w:marBottom w:val="0"/>
                          <w:divBdr>
                            <w:top w:val="none" w:sz="0" w:space="0" w:color="auto"/>
                            <w:left w:val="none" w:sz="0" w:space="0" w:color="auto"/>
                            <w:bottom w:val="none" w:sz="0" w:space="0" w:color="auto"/>
                            <w:right w:val="none" w:sz="0" w:space="0" w:color="auto"/>
                          </w:divBdr>
                        </w:div>
                        <w:div w:id="7898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88889">
          <w:marLeft w:val="0"/>
          <w:marRight w:val="0"/>
          <w:marTop w:val="0"/>
          <w:marBottom w:val="0"/>
          <w:divBdr>
            <w:top w:val="none" w:sz="0" w:space="0" w:color="auto"/>
            <w:left w:val="none" w:sz="0" w:space="0" w:color="auto"/>
            <w:bottom w:val="none" w:sz="0" w:space="0" w:color="auto"/>
            <w:right w:val="none" w:sz="0" w:space="0" w:color="auto"/>
          </w:divBdr>
          <w:divsChild>
            <w:div w:id="768089583">
              <w:marLeft w:val="0"/>
              <w:marRight w:val="0"/>
              <w:marTop w:val="0"/>
              <w:marBottom w:val="0"/>
              <w:divBdr>
                <w:top w:val="none" w:sz="0" w:space="0" w:color="auto"/>
                <w:left w:val="none" w:sz="0" w:space="0" w:color="auto"/>
                <w:bottom w:val="none" w:sz="0" w:space="0" w:color="auto"/>
                <w:right w:val="none" w:sz="0" w:space="0" w:color="auto"/>
              </w:divBdr>
            </w:div>
          </w:divsChild>
        </w:div>
        <w:div w:id="1928463471">
          <w:marLeft w:val="0"/>
          <w:marRight w:val="0"/>
          <w:marTop w:val="0"/>
          <w:marBottom w:val="0"/>
          <w:divBdr>
            <w:top w:val="none" w:sz="0" w:space="0" w:color="auto"/>
            <w:left w:val="none" w:sz="0" w:space="0" w:color="auto"/>
            <w:bottom w:val="none" w:sz="0" w:space="0" w:color="auto"/>
            <w:right w:val="none" w:sz="0" w:space="0" w:color="auto"/>
          </w:divBdr>
        </w:div>
      </w:divsChild>
    </w:div>
    <w:div w:id="788620758">
      <w:bodyDiv w:val="1"/>
      <w:marLeft w:val="0"/>
      <w:marRight w:val="0"/>
      <w:marTop w:val="0"/>
      <w:marBottom w:val="0"/>
      <w:divBdr>
        <w:top w:val="none" w:sz="0" w:space="0" w:color="auto"/>
        <w:left w:val="none" w:sz="0" w:space="0" w:color="auto"/>
        <w:bottom w:val="none" w:sz="0" w:space="0" w:color="auto"/>
        <w:right w:val="none" w:sz="0" w:space="0" w:color="auto"/>
      </w:divBdr>
    </w:div>
    <w:div w:id="789131585">
      <w:bodyDiv w:val="1"/>
      <w:marLeft w:val="0"/>
      <w:marRight w:val="0"/>
      <w:marTop w:val="0"/>
      <w:marBottom w:val="0"/>
      <w:divBdr>
        <w:top w:val="none" w:sz="0" w:space="0" w:color="auto"/>
        <w:left w:val="none" w:sz="0" w:space="0" w:color="auto"/>
        <w:bottom w:val="none" w:sz="0" w:space="0" w:color="auto"/>
        <w:right w:val="none" w:sz="0" w:space="0" w:color="auto"/>
      </w:divBdr>
    </w:div>
    <w:div w:id="789974869">
      <w:bodyDiv w:val="1"/>
      <w:marLeft w:val="0"/>
      <w:marRight w:val="0"/>
      <w:marTop w:val="0"/>
      <w:marBottom w:val="0"/>
      <w:divBdr>
        <w:top w:val="none" w:sz="0" w:space="0" w:color="auto"/>
        <w:left w:val="none" w:sz="0" w:space="0" w:color="auto"/>
        <w:bottom w:val="none" w:sz="0" w:space="0" w:color="auto"/>
        <w:right w:val="none" w:sz="0" w:space="0" w:color="auto"/>
      </w:divBdr>
    </w:div>
    <w:div w:id="791216943">
      <w:bodyDiv w:val="1"/>
      <w:marLeft w:val="0"/>
      <w:marRight w:val="0"/>
      <w:marTop w:val="0"/>
      <w:marBottom w:val="0"/>
      <w:divBdr>
        <w:top w:val="none" w:sz="0" w:space="0" w:color="auto"/>
        <w:left w:val="none" w:sz="0" w:space="0" w:color="auto"/>
        <w:bottom w:val="none" w:sz="0" w:space="0" w:color="auto"/>
        <w:right w:val="none" w:sz="0" w:space="0" w:color="auto"/>
      </w:divBdr>
    </w:div>
    <w:div w:id="797993631">
      <w:bodyDiv w:val="1"/>
      <w:marLeft w:val="0"/>
      <w:marRight w:val="0"/>
      <w:marTop w:val="0"/>
      <w:marBottom w:val="0"/>
      <w:divBdr>
        <w:top w:val="none" w:sz="0" w:space="0" w:color="auto"/>
        <w:left w:val="none" w:sz="0" w:space="0" w:color="auto"/>
        <w:bottom w:val="none" w:sz="0" w:space="0" w:color="auto"/>
        <w:right w:val="none" w:sz="0" w:space="0" w:color="auto"/>
      </w:divBdr>
    </w:div>
    <w:div w:id="800880961">
      <w:bodyDiv w:val="1"/>
      <w:marLeft w:val="0"/>
      <w:marRight w:val="0"/>
      <w:marTop w:val="0"/>
      <w:marBottom w:val="0"/>
      <w:divBdr>
        <w:top w:val="none" w:sz="0" w:space="0" w:color="auto"/>
        <w:left w:val="none" w:sz="0" w:space="0" w:color="auto"/>
        <w:bottom w:val="none" w:sz="0" w:space="0" w:color="auto"/>
        <w:right w:val="none" w:sz="0" w:space="0" w:color="auto"/>
      </w:divBdr>
    </w:div>
    <w:div w:id="801389477">
      <w:bodyDiv w:val="1"/>
      <w:marLeft w:val="0"/>
      <w:marRight w:val="0"/>
      <w:marTop w:val="0"/>
      <w:marBottom w:val="0"/>
      <w:divBdr>
        <w:top w:val="none" w:sz="0" w:space="0" w:color="auto"/>
        <w:left w:val="none" w:sz="0" w:space="0" w:color="auto"/>
        <w:bottom w:val="none" w:sz="0" w:space="0" w:color="auto"/>
        <w:right w:val="none" w:sz="0" w:space="0" w:color="auto"/>
      </w:divBdr>
    </w:div>
    <w:div w:id="807278711">
      <w:bodyDiv w:val="1"/>
      <w:marLeft w:val="0"/>
      <w:marRight w:val="0"/>
      <w:marTop w:val="0"/>
      <w:marBottom w:val="0"/>
      <w:divBdr>
        <w:top w:val="none" w:sz="0" w:space="0" w:color="auto"/>
        <w:left w:val="none" w:sz="0" w:space="0" w:color="auto"/>
        <w:bottom w:val="none" w:sz="0" w:space="0" w:color="auto"/>
        <w:right w:val="none" w:sz="0" w:space="0" w:color="auto"/>
      </w:divBdr>
    </w:div>
    <w:div w:id="813789936">
      <w:bodyDiv w:val="1"/>
      <w:marLeft w:val="0"/>
      <w:marRight w:val="0"/>
      <w:marTop w:val="0"/>
      <w:marBottom w:val="0"/>
      <w:divBdr>
        <w:top w:val="none" w:sz="0" w:space="0" w:color="auto"/>
        <w:left w:val="none" w:sz="0" w:space="0" w:color="auto"/>
        <w:bottom w:val="none" w:sz="0" w:space="0" w:color="auto"/>
        <w:right w:val="none" w:sz="0" w:space="0" w:color="auto"/>
      </w:divBdr>
    </w:div>
    <w:div w:id="814375028">
      <w:bodyDiv w:val="1"/>
      <w:marLeft w:val="0"/>
      <w:marRight w:val="0"/>
      <w:marTop w:val="0"/>
      <w:marBottom w:val="0"/>
      <w:divBdr>
        <w:top w:val="none" w:sz="0" w:space="0" w:color="auto"/>
        <w:left w:val="none" w:sz="0" w:space="0" w:color="auto"/>
        <w:bottom w:val="none" w:sz="0" w:space="0" w:color="auto"/>
        <w:right w:val="none" w:sz="0" w:space="0" w:color="auto"/>
      </w:divBdr>
      <w:divsChild>
        <w:div w:id="457187882">
          <w:marLeft w:val="0"/>
          <w:marRight w:val="0"/>
          <w:marTop w:val="0"/>
          <w:marBottom w:val="0"/>
          <w:divBdr>
            <w:top w:val="none" w:sz="0" w:space="0" w:color="auto"/>
            <w:left w:val="none" w:sz="0" w:space="0" w:color="auto"/>
            <w:bottom w:val="none" w:sz="0" w:space="0" w:color="auto"/>
            <w:right w:val="none" w:sz="0" w:space="0" w:color="auto"/>
          </w:divBdr>
        </w:div>
        <w:div w:id="558591338">
          <w:marLeft w:val="0"/>
          <w:marRight w:val="0"/>
          <w:marTop w:val="0"/>
          <w:marBottom w:val="0"/>
          <w:divBdr>
            <w:top w:val="none" w:sz="0" w:space="0" w:color="auto"/>
            <w:left w:val="none" w:sz="0" w:space="0" w:color="auto"/>
            <w:bottom w:val="none" w:sz="0" w:space="0" w:color="auto"/>
            <w:right w:val="none" w:sz="0" w:space="0" w:color="auto"/>
          </w:divBdr>
        </w:div>
      </w:divsChild>
    </w:div>
    <w:div w:id="825634011">
      <w:bodyDiv w:val="1"/>
      <w:marLeft w:val="0"/>
      <w:marRight w:val="0"/>
      <w:marTop w:val="0"/>
      <w:marBottom w:val="0"/>
      <w:divBdr>
        <w:top w:val="none" w:sz="0" w:space="0" w:color="auto"/>
        <w:left w:val="none" w:sz="0" w:space="0" w:color="auto"/>
        <w:bottom w:val="none" w:sz="0" w:space="0" w:color="auto"/>
        <w:right w:val="none" w:sz="0" w:space="0" w:color="auto"/>
      </w:divBdr>
    </w:div>
    <w:div w:id="826896568">
      <w:bodyDiv w:val="1"/>
      <w:marLeft w:val="0"/>
      <w:marRight w:val="0"/>
      <w:marTop w:val="0"/>
      <w:marBottom w:val="0"/>
      <w:divBdr>
        <w:top w:val="none" w:sz="0" w:space="0" w:color="auto"/>
        <w:left w:val="none" w:sz="0" w:space="0" w:color="auto"/>
        <w:bottom w:val="none" w:sz="0" w:space="0" w:color="auto"/>
        <w:right w:val="none" w:sz="0" w:space="0" w:color="auto"/>
      </w:divBdr>
    </w:div>
    <w:div w:id="828181740">
      <w:bodyDiv w:val="1"/>
      <w:marLeft w:val="0"/>
      <w:marRight w:val="0"/>
      <w:marTop w:val="0"/>
      <w:marBottom w:val="0"/>
      <w:divBdr>
        <w:top w:val="none" w:sz="0" w:space="0" w:color="auto"/>
        <w:left w:val="none" w:sz="0" w:space="0" w:color="auto"/>
        <w:bottom w:val="none" w:sz="0" w:space="0" w:color="auto"/>
        <w:right w:val="none" w:sz="0" w:space="0" w:color="auto"/>
      </w:divBdr>
    </w:div>
    <w:div w:id="830485816">
      <w:bodyDiv w:val="1"/>
      <w:marLeft w:val="0"/>
      <w:marRight w:val="0"/>
      <w:marTop w:val="0"/>
      <w:marBottom w:val="0"/>
      <w:divBdr>
        <w:top w:val="none" w:sz="0" w:space="0" w:color="auto"/>
        <w:left w:val="none" w:sz="0" w:space="0" w:color="auto"/>
        <w:bottom w:val="none" w:sz="0" w:space="0" w:color="auto"/>
        <w:right w:val="none" w:sz="0" w:space="0" w:color="auto"/>
      </w:divBdr>
      <w:divsChild>
        <w:div w:id="2083024905">
          <w:marLeft w:val="0"/>
          <w:marRight w:val="0"/>
          <w:marTop w:val="0"/>
          <w:marBottom w:val="0"/>
          <w:divBdr>
            <w:top w:val="none" w:sz="0" w:space="0" w:color="auto"/>
            <w:left w:val="none" w:sz="0" w:space="0" w:color="auto"/>
            <w:bottom w:val="none" w:sz="0" w:space="0" w:color="auto"/>
            <w:right w:val="none" w:sz="0" w:space="0" w:color="auto"/>
          </w:divBdr>
        </w:div>
      </w:divsChild>
    </w:div>
    <w:div w:id="831456650">
      <w:bodyDiv w:val="1"/>
      <w:marLeft w:val="0"/>
      <w:marRight w:val="0"/>
      <w:marTop w:val="0"/>
      <w:marBottom w:val="0"/>
      <w:divBdr>
        <w:top w:val="none" w:sz="0" w:space="0" w:color="auto"/>
        <w:left w:val="none" w:sz="0" w:space="0" w:color="auto"/>
        <w:bottom w:val="none" w:sz="0" w:space="0" w:color="auto"/>
        <w:right w:val="none" w:sz="0" w:space="0" w:color="auto"/>
      </w:divBdr>
    </w:div>
    <w:div w:id="836382057">
      <w:bodyDiv w:val="1"/>
      <w:marLeft w:val="0"/>
      <w:marRight w:val="0"/>
      <w:marTop w:val="0"/>
      <w:marBottom w:val="0"/>
      <w:divBdr>
        <w:top w:val="none" w:sz="0" w:space="0" w:color="auto"/>
        <w:left w:val="none" w:sz="0" w:space="0" w:color="auto"/>
        <w:bottom w:val="none" w:sz="0" w:space="0" w:color="auto"/>
        <w:right w:val="none" w:sz="0" w:space="0" w:color="auto"/>
      </w:divBdr>
    </w:div>
    <w:div w:id="840969071">
      <w:bodyDiv w:val="1"/>
      <w:marLeft w:val="0"/>
      <w:marRight w:val="0"/>
      <w:marTop w:val="0"/>
      <w:marBottom w:val="0"/>
      <w:divBdr>
        <w:top w:val="none" w:sz="0" w:space="0" w:color="auto"/>
        <w:left w:val="none" w:sz="0" w:space="0" w:color="auto"/>
        <w:bottom w:val="none" w:sz="0" w:space="0" w:color="auto"/>
        <w:right w:val="none" w:sz="0" w:space="0" w:color="auto"/>
      </w:divBdr>
    </w:div>
    <w:div w:id="860362088">
      <w:bodyDiv w:val="1"/>
      <w:marLeft w:val="0"/>
      <w:marRight w:val="0"/>
      <w:marTop w:val="0"/>
      <w:marBottom w:val="0"/>
      <w:divBdr>
        <w:top w:val="none" w:sz="0" w:space="0" w:color="auto"/>
        <w:left w:val="none" w:sz="0" w:space="0" w:color="auto"/>
        <w:bottom w:val="none" w:sz="0" w:space="0" w:color="auto"/>
        <w:right w:val="none" w:sz="0" w:space="0" w:color="auto"/>
      </w:divBdr>
    </w:div>
    <w:div w:id="863245719">
      <w:bodyDiv w:val="1"/>
      <w:marLeft w:val="0"/>
      <w:marRight w:val="0"/>
      <w:marTop w:val="0"/>
      <w:marBottom w:val="0"/>
      <w:divBdr>
        <w:top w:val="none" w:sz="0" w:space="0" w:color="auto"/>
        <w:left w:val="none" w:sz="0" w:space="0" w:color="auto"/>
        <w:bottom w:val="none" w:sz="0" w:space="0" w:color="auto"/>
        <w:right w:val="none" w:sz="0" w:space="0" w:color="auto"/>
      </w:divBdr>
    </w:div>
    <w:div w:id="867793718">
      <w:bodyDiv w:val="1"/>
      <w:marLeft w:val="0"/>
      <w:marRight w:val="0"/>
      <w:marTop w:val="0"/>
      <w:marBottom w:val="0"/>
      <w:divBdr>
        <w:top w:val="none" w:sz="0" w:space="0" w:color="auto"/>
        <w:left w:val="none" w:sz="0" w:space="0" w:color="auto"/>
        <w:bottom w:val="none" w:sz="0" w:space="0" w:color="auto"/>
        <w:right w:val="none" w:sz="0" w:space="0" w:color="auto"/>
      </w:divBdr>
      <w:divsChild>
        <w:div w:id="1434781060">
          <w:marLeft w:val="0"/>
          <w:marRight w:val="0"/>
          <w:marTop w:val="0"/>
          <w:marBottom w:val="0"/>
          <w:divBdr>
            <w:top w:val="none" w:sz="0" w:space="0" w:color="auto"/>
            <w:left w:val="none" w:sz="0" w:space="0" w:color="auto"/>
            <w:bottom w:val="none" w:sz="0" w:space="0" w:color="auto"/>
            <w:right w:val="none" w:sz="0" w:space="0" w:color="auto"/>
          </w:divBdr>
          <w:divsChild>
            <w:div w:id="57875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6420">
      <w:bodyDiv w:val="1"/>
      <w:marLeft w:val="0"/>
      <w:marRight w:val="0"/>
      <w:marTop w:val="0"/>
      <w:marBottom w:val="0"/>
      <w:divBdr>
        <w:top w:val="none" w:sz="0" w:space="0" w:color="auto"/>
        <w:left w:val="none" w:sz="0" w:space="0" w:color="auto"/>
        <w:bottom w:val="none" w:sz="0" w:space="0" w:color="auto"/>
        <w:right w:val="none" w:sz="0" w:space="0" w:color="auto"/>
      </w:divBdr>
    </w:div>
    <w:div w:id="870608066">
      <w:bodyDiv w:val="1"/>
      <w:marLeft w:val="0"/>
      <w:marRight w:val="0"/>
      <w:marTop w:val="0"/>
      <w:marBottom w:val="0"/>
      <w:divBdr>
        <w:top w:val="none" w:sz="0" w:space="0" w:color="auto"/>
        <w:left w:val="none" w:sz="0" w:space="0" w:color="auto"/>
        <w:bottom w:val="none" w:sz="0" w:space="0" w:color="auto"/>
        <w:right w:val="none" w:sz="0" w:space="0" w:color="auto"/>
      </w:divBdr>
    </w:div>
    <w:div w:id="871576633">
      <w:bodyDiv w:val="1"/>
      <w:marLeft w:val="0"/>
      <w:marRight w:val="0"/>
      <w:marTop w:val="0"/>
      <w:marBottom w:val="0"/>
      <w:divBdr>
        <w:top w:val="none" w:sz="0" w:space="0" w:color="auto"/>
        <w:left w:val="none" w:sz="0" w:space="0" w:color="auto"/>
        <w:bottom w:val="none" w:sz="0" w:space="0" w:color="auto"/>
        <w:right w:val="none" w:sz="0" w:space="0" w:color="auto"/>
      </w:divBdr>
    </w:div>
    <w:div w:id="875704212">
      <w:bodyDiv w:val="1"/>
      <w:marLeft w:val="0"/>
      <w:marRight w:val="0"/>
      <w:marTop w:val="0"/>
      <w:marBottom w:val="0"/>
      <w:divBdr>
        <w:top w:val="none" w:sz="0" w:space="0" w:color="auto"/>
        <w:left w:val="none" w:sz="0" w:space="0" w:color="auto"/>
        <w:bottom w:val="none" w:sz="0" w:space="0" w:color="auto"/>
        <w:right w:val="none" w:sz="0" w:space="0" w:color="auto"/>
      </w:divBdr>
    </w:div>
    <w:div w:id="876552359">
      <w:bodyDiv w:val="1"/>
      <w:marLeft w:val="0"/>
      <w:marRight w:val="0"/>
      <w:marTop w:val="0"/>
      <w:marBottom w:val="0"/>
      <w:divBdr>
        <w:top w:val="none" w:sz="0" w:space="0" w:color="auto"/>
        <w:left w:val="none" w:sz="0" w:space="0" w:color="auto"/>
        <w:bottom w:val="none" w:sz="0" w:space="0" w:color="auto"/>
        <w:right w:val="none" w:sz="0" w:space="0" w:color="auto"/>
      </w:divBdr>
    </w:div>
    <w:div w:id="886792745">
      <w:bodyDiv w:val="1"/>
      <w:marLeft w:val="0"/>
      <w:marRight w:val="0"/>
      <w:marTop w:val="0"/>
      <w:marBottom w:val="0"/>
      <w:divBdr>
        <w:top w:val="none" w:sz="0" w:space="0" w:color="auto"/>
        <w:left w:val="none" w:sz="0" w:space="0" w:color="auto"/>
        <w:bottom w:val="none" w:sz="0" w:space="0" w:color="auto"/>
        <w:right w:val="none" w:sz="0" w:space="0" w:color="auto"/>
      </w:divBdr>
    </w:div>
    <w:div w:id="886841860">
      <w:bodyDiv w:val="1"/>
      <w:marLeft w:val="0"/>
      <w:marRight w:val="0"/>
      <w:marTop w:val="0"/>
      <w:marBottom w:val="0"/>
      <w:divBdr>
        <w:top w:val="none" w:sz="0" w:space="0" w:color="auto"/>
        <w:left w:val="none" w:sz="0" w:space="0" w:color="auto"/>
        <w:bottom w:val="none" w:sz="0" w:space="0" w:color="auto"/>
        <w:right w:val="none" w:sz="0" w:space="0" w:color="auto"/>
      </w:divBdr>
    </w:div>
    <w:div w:id="889195204">
      <w:bodyDiv w:val="1"/>
      <w:marLeft w:val="0"/>
      <w:marRight w:val="0"/>
      <w:marTop w:val="0"/>
      <w:marBottom w:val="0"/>
      <w:divBdr>
        <w:top w:val="none" w:sz="0" w:space="0" w:color="auto"/>
        <w:left w:val="none" w:sz="0" w:space="0" w:color="auto"/>
        <w:bottom w:val="none" w:sz="0" w:space="0" w:color="auto"/>
        <w:right w:val="none" w:sz="0" w:space="0" w:color="auto"/>
      </w:divBdr>
    </w:div>
    <w:div w:id="894975711">
      <w:bodyDiv w:val="1"/>
      <w:marLeft w:val="0"/>
      <w:marRight w:val="0"/>
      <w:marTop w:val="0"/>
      <w:marBottom w:val="0"/>
      <w:divBdr>
        <w:top w:val="none" w:sz="0" w:space="0" w:color="auto"/>
        <w:left w:val="none" w:sz="0" w:space="0" w:color="auto"/>
        <w:bottom w:val="none" w:sz="0" w:space="0" w:color="auto"/>
        <w:right w:val="none" w:sz="0" w:space="0" w:color="auto"/>
      </w:divBdr>
      <w:divsChild>
        <w:div w:id="568731099">
          <w:marLeft w:val="0"/>
          <w:marRight w:val="0"/>
          <w:marTop w:val="0"/>
          <w:marBottom w:val="0"/>
          <w:divBdr>
            <w:top w:val="none" w:sz="0" w:space="0" w:color="auto"/>
            <w:left w:val="none" w:sz="0" w:space="0" w:color="auto"/>
            <w:bottom w:val="none" w:sz="0" w:space="0" w:color="auto"/>
            <w:right w:val="none" w:sz="0" w:space="0" w:color="auto"/>
          </w:divBdr>
        </w:div>
        <w:div w:id="1446852780">
          <w:marLeft w:val="0"/>
          <w:marRight w:val="0"/>
          <w:marTop w:val="0"/>
          <w:marBottom w:val="0"/>
          <w:divBdr>
            <w:top w:val="none" w:sz="0" w:space="0" w:color="auto"/>
            <w:left w:val="none" w:sz="0" w:space="0" w:color="auto"/>
            <w:bottom w:val="none" w:sz="0" w:space="0" w:color="auto"/>
            <w:right w:val="none" w:sz="0" w:space="0" w:color="auto"/>
          </w:divBdr>
        </w:div>
      </w:divsChild>
    </w:div>
    <w:div w:id="895513316">
      <w:bodyDiv w:val="1"/>
      <w:marLeft w:val="0"/>
      <w:marRight w:val="0"/>
      <w:marTop w:val="0"/>
      <w:marBottom w:val="0"/>
      <w:divBdr>
        <w:top w:val="none" w:sz="0" w:space="0" w:color="auto"/>
        <w:left w:val="none" w:sz="0" w:space="0" w:color="auto"/>
        <w:bottom w:val="none" w:sz="0" w:space="0" w:color="auto"/>
        <w:right w:val="none" w:sz="0" w:space="0" w:color="auto"/>
      </w:divBdr>
      <w:divsChild>
        <w:div w:id="1748962720">
          <w:marLeft w:val="0"/>
          <w:marRight w:val="0"/>
          <w:marTop w:val="0"/>
          <w:marBottom w:val="0"/>
          <w:divBdr>
            <w:top w:val="none" w:sz="0" w:space="0" w:color="auto"/>
            <w:left w:val="none" w:sz="0" w:space="0" w:color="auto"/>
            <w:bottom w:val="none" w:sz="0" w:space="0" w:color="auto"/>
            <w:right w:val="none" w:sz="0" w:space="0" w:color="auto"/>
          </w:divBdr>
        </w:div>
      </w:divsChild>
    </w:div>
    <w:div w:id="900598587">
      <w:bodyDiv w:val="1"/>
      <w:marLeft w:val="0"/>
      <w:marRight w:val="0"/>
      <w:marTop w:val="0"/>
      <w:marBottom w:val="0"/>
      <w:divBdr>
        <w:top w:val="none" w:sz="0" w:space="0" w:color="auto"/>
        <w:left w:val="none" w:sz="0" w:space="0" w:color="auto"/>
        <w:bottom w:val="none" w:sz="0" w:space="0" w:color="auto"/>
        <w:right w:val="none" w:sz="0" w:space="0" w:color="auto"/>
      </w:divBdr>
    </w:div>
    <w:div w:id="901601284">
      <w:bodyDiv w:val="1"/>
      <w:marLeft w:val="0"/>
      <w:marRight w:val="0"/>
      <w:marTop w:val="0"/>
      <w:marBottom w:val="0"/>
      <w:divBdr>
        <w:top w:val="none" w:sz="0" w:space="0" w:color="auto"/>
        <w:left w:val="none" w:sz="0" w:space="0" w:color="auto"/>
        <w:bottom w:val="none" w:sz="0" w:space="0" w:color="auto"/>
        <w:right w:val="none" w:sz="0" w:space="0" w:color="auto"/>
      </w:divBdr>
    </w:div>
    <w:div w:id="906377816">
      <w:bodyDiv w:val="1"/>
      <w:marLeft w:val="0"/>
      <w:marRight w:val="0"/>
      <w:marTop w:val="0"/>
      <w:marBottom w:val="0"/>
      <w:divBdr>
        <w:top w:val="none" w:sz="0" w:space="0" w:color="auto"/>
        <w:left w:val="none" w:sz="0" w:space="0" w:color="auto"/>
        <w:bottom w:val="none" w:sz="0" w:space="0" w:color="auto"/>
        <w:right w:val="none" w:sz="0" w:space="0" w:color="auto"/>
      </w:divBdr>
    </w:div>
    <w:div w:id="907231350">
      <w:bodyDiv w:val="1"/>
      <w:marLeft w:val="0"/>
      <w:marRight w:val="0"/>
      <w:marTop w:val="0"/>
      <w:marBottom w:val="0"/>
      <w:divBdr>
        <w:top w:val="none" w:sz="0" w:space="0" w:color="auto"/>
        <w:left w:val="none" w:sz="0" w:space="0" w:color="auto"/>
        <w:bottom w:val="none" w:sz="0" w:space="0" w:color="auto"/>
        <w:right w:val="none" w:sz="0" w:space="0" w:color="auto"/>
      </w:divBdr>
      <w:divsChild>
        <w:div w:id="603222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1042499">
      <w:bodyDiv w:val="1"/>
      <w:marLeft w:val="0"/>
      <w:marRight w:val="0"/>
      <w:marTop w:val="0"/>
      <w:marBottom w:val="0"/>
      <w:divBdr>
        <w:top w:val="none" w:sz="0" w:space="0" w:color="auto"/>
        <w:left w:val="none" w:sz="0" w:space="0" w:color="auto"/>
        <w:bottom w:val="none" w:sz="0" w:space="0" w:color="auto"/>
        <w:right w:val="none" w:sz="0" w:space="0" w:color="auto"/>
      </w:divBdr>
    </w:div>
    <w:div w:id="912740501">
      <w:bodyDiv w:val="1"/>
      <w:marLeft w:val="0"/>
      <w:marRight w:val="0"/>
      <w:marTop w:val="0"/>
      <w:marBottom w:val="0"/>
      <w:divBdr>
        <w:top w:val="none" w:sz="0" w:space="0" w:color="auto"/>
        <w:left w:val="none" w:sz="0" w:space="0" w:color="auto"/>
        <w:bottom w:val="none" w:sz="0" w:space="0" w:color="auto"/>
        <w:right w:val="none" w:sz="0" w:space="0" w:color="auto"/>
      </w:divBdr>
    </w:div>
    <w:div w:id="913900854">
      <w:bodyDiv w:val="1"/>
      <w:marLeft w:val="0"/>
      <w:marRight w:val="0"/>
      <w:marTop w:val="0"/>
      <w:marBottom w:val="0"/>
      <w:divBdr>
        <w:top w:val="none" w:sz="0" w:space="0" w:color="auto"/>
        <w:left w:val="none" w:sz="0" w:space="0" w:color="auto"/>
        <w:bottom w:val="none" w:sz="0" w:space="0" w:color="auto"/>
        <w:right w:val="none" w:sz="0" w:space="0" w:color="auto"/>
      </w:divBdr>
      <w:divsChild>
        <w:div w:id="997877355">
          <w:marLeft w:val="0"/>
          <w:marRight w:val="0"/>
          <w:marTop w:val="0"/>
          <w:marBottom w:val="0"/>
          <w:divBdr>
            <w:top w:val="none" w:sz="0" w:space="0" w:color="auto"/>
            <w:left w:val="none" w:sz="0" w:space="0" w:color="auto"/>
            <w:bottom w:val="none" w:sz="0" w:space="0" w:color="auto"/>
            <w:right w:val="none" w:sz="0" w:space="0" w:color="auto"/>
          </w:divBdr>
        </w:div>
        <w:div w:id="1575581379">
          <w:marLeft w:val="0"/>
          <w:marRight w:val="0"/>
          <w:marTop w:val="0"/>
          <w:marBottom w:val="0"/>
          <w:divBdr>
            <w:top w:val="none" w:sz="0" w:space="0" w:color="auto"/>
            <w:left w:val="none" w:sz="0" w:space="0" w:color="auto"/>
            <w:bottom w:val="none" w:sz="0" w:space="0" w:color="auto"/>
            <w:right w:val="none" w:sz="0" w:space="0" w:color="auto"/>
          </w:divBdr>
        </w:div>
      </w:divsChild>
    </w:div>
    <w:div w:id="918254484">
      <w:bodyDiv w:val="1"/>
      <w:marLeft w:val="0"/>
      <w:marRight w:val="0"/>
      <w:marTop w:val="0"/>
      <w:marBottom w:val="0"/>
      <w:divBdr>
        <w:top w:val="none" w:sz="0" w:space="0" w:color="auto"/>
        <w:left w:val="none" w:sz="0" w:space="0" w:color="auto"/>
        <w:bottom w:val="none" w:sz="0" w:space="0" w:color="auto"/>
        <w:right w:val="none" w:sz="0" w:space="0" w:color="auto"/>
      </w:divBdr>
      <w:divsChild>
        <w:div w:id="1679577862">
          <w:marLeft w:val="0"/>
          <w:marRight w:val="0"/>
          <w:marTop w:val="0"/>
          <w:marBottom w:val="0"/>
          <w:divBdr>
            <w:top w:val="none" w:sz="0" w:space="0" w:color="auto"/>
            <w:left w:val="none" w:sz="0" w:space="0" w:color="auto"/>
            <w:bottom w:val="none" w:sz="0" w:space="0" w:color="auto"/>
            <w:right w:val="none" w:sz="0" w:space="0" w:color="auto"/>
          </w:divBdr>
          <w:divsChild>
            <w:div w:id="1846086896">
              <w:marLeft w:val="0"/>
              <w:marRight w:val="0"/>
              <w:marTop w:val="0"/>
              <w:marBottom w:val="0"/>
              <w:divBdr>
                <w:top w:val="none" w:sz="0" w:space="0" w:color="auto"/>
                <w:left w:val="none" w:sz="0" w:space="0" w:color="auto"/>
                <w:bottom w:val="none" w:sz="0" w:space="0" w:color="auto"/>
                <w:right w:val="none" w:sz="0" w:space="0" w:color="auto"/>
              </w:divBdr>
              <w:divsChild>
                <w:div w:id="15929407">
                  <w:marLeft w:val="164"/>
                  <w:marRight w:val="0"/>
                  <w:marTop w:val="0"/>
                  <w:marBottom w:val="0"/>
                  <w:divBdr>
                    <w:top w:val="none" w:sz="0" w:space="0" w:color="auto"/>
                    <w:left w:val="none" w:sz="0" w:space="0" w:color="auto"/>
                    <w:bottom w:val="none" w:sz="0" w:space="0" w:color="auto"/>
                    <w:right w:val="none" w:sz="0" w:space="0" w:color="auto"/>
                  </w:divBdr>
                  <w:divsChild>
                    <w:div w:id="1584294939">
                      <w:marLeft w:val="0"/>
                      <w:marRight w:val="0"/>
                      <w:marTop w:val="0"/>
                      <w:marBottom w:val="300"/>
                      <w:divBdr>
                        <w:top w:val="none" w:sz="0" w:space="0" w:color="auto"/>
                        <w:left w:val="none" w:sz="0" w:space="0" w:color="auto"/>
                        <w:bottom w:val="none" w:sz="0" w:space="0" w:color="auto"/>
                        <w:right w:val="none" w:sz="0" w:space="0" w:color="auto"/>
                      </w:divBdr>
                      <w:divsChild>
                        <w:div w:id="1265189812">
                          <w:marLeft w:val="0"/>
                          <w:marRight w:val="0"/>
                          <w:marTop w:val="0"/>
                          <w:marBottom w:val="0"/>
                          <w:divBdr>
                            <w:top w:val="none" w:sz="0" w:space="0" w:color="auto"/>
                            <w:left w:val="single" w:sz="6" w:space="4" w:color="DDDDDD"/>
                            <w:bottom w:val="none" w:sz="0" w:space="0" w:color="auto"/>
                            <w:right w:val="none" w:sz="0" w:space="0" w:color="auto"/>
                          </w:divBdr>
                        </w:div>
                      </w:divsChild>
                    </w:div>
                  </w:divsChild>
                </w:div>
                <w:div w:id="1078285077">
                  <w:marLeft w:val="0"/>
                  <w:marRight w:val="0"/>
                  <w:marTop w:val="0"/>
                  <w:marBottom w:val="0"/>
                  <w:divBdr>
                    <w:top w:val="none" w:sz="0" w:space="0" w:color="auto"/>
                    <w:left w:val="none" w:sz="0" w:space="0" w:color="auto"/>
                    <w:bottom w:val="none" w:sz="0" w:space="0" w:color="auto"/>
                    <w:right w:val="none" w:sz="0" w:space="0" w:color="auto"/>
                  </w:divBdr>
                  <w:divsChild>
                    <w:div w:id="123994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835773">
      <w:bodyDiv w:val="1"/>
      <w:marLeft w:val="0"/>
      <w:marRight w:val="0"/>
      <w:marTop w:val="0"/>
      <w:marBottom w:val="0"/>
      <w:divBdr>
        <w:top w:val="none" w:sz="0" w:space="0" w:color="auto"/>
        <w:left w:val="none" w:sz="0" w:space="0" w:color="auto"/>
        <w:bottom w:val="none" w:sz="0" w:space="0" w:color="auto"/>
        <w:right w:val="none" w:sz="0" w:space="0" w:color="auto"/>
      </w:divBdr>
    </w:div>
    <w:div w:id="922110601">
      <w:bodyDiv w:val="1"/>
      <w:marLeft w:val="0"/>
      <w:marRight w:val="0"/>
      <w:marTop w:val="0"/>
      <w:marBottom w:val="0"/>
      <w:divBdr>
        <w:top w:val="none" w:sz="0" w:space="0" w:color="auto"/>
        <w:left w:val="none" w:sz="0" w:space="0" w:color="auto"/>
        <w:bottom w:val="none" w:sz="0" w:space="0" w:color="auto"/>
        <w:right w:val="none" w:sz="0" w:space="0" w:color="auto"/>
      </w:divBdr>
    </w:div>
    <w:div w:id="922223011">
      <w:bodyDiv w:val="1"/>
      <w:marLeft w:val="0"/>
      <w:marRight w:val="0"/>
      <w:marTop w:val="0"/>
      <w:marBottom w:val="0"/>
      <w:divBdr>
        <w:top w:val="none" w:sz="0" w:space="0" w:color="auto"/>
        <w:left w:val="none" w:sz="0" w:space="0" w:color="auto"/>
        <w:bottom w:val="none" w:sz="0" w:space="0" w:color="auto"/>
        <w:right w:val="none" w:sz="0" w:space="0" w:color="auto"/>
      </w:divBdr>
    </w:div>
    <w:div w:id="923954360">
      <w:bodyDiv w:val="1"/>
      <w:marLeft w:val="0"/>
      <w:marRight w:val="0"/>
      <w:marTop w:val="0"/>
      <w:marBottom w:val="0"/>
      <w:divBdr>
        <w:top w:val="none" w:sz="0" w:space="0" w:color="auto"/>
        <w:left w:val="none" w:sz="0" w:space="0" w:color="auto"/>
        <w:bottom w:val="none" w:sz="0" w:space="0" w:color="auto"/>
        <w:right w:val="none" w:sz="0" w:space="0" w:color="auto"/>
      </w:divBdr>
      <w:divsChild>
        <w:div w:id="782529778">
          <w:marLeft w:val="0"/>
          <w:marRight w:val="0"/>
          <w:marTop w:val="0"/>
          <w:marBottom w:val="0"/>
          <w:divBdr>
            <w:top w:val="none" w:sz="0" w:space="0" w:color="auto"/>
            <w:left w:val="none" w:sz="0" w:space="0" w:color="auto"/>
            <w:bottom w:val="none" w:sz="0" w:space="0" w:color="auto"/>
            <w:right w:val="none" w:sz="0" w:space="0" w:color="auto"/>
          </w:divBdr>
          <w:divsChild>
            <w:div w:id="407386881">
              <w:marLeft w:val="0"/>
              <w:marRight w:val="0"/>
              <w:marTop w:val="0"/>
              <w:marBottom w:val="0"/>
              <w:divBdr>
                <w:top w:val="none" w:sz="0" w:space="0" w:color="auto"/>
                <w:left w:val="none" w:sz="0" w:space="0" w:color="auto"/>
                <w:bottom w:val="none" w:sz="0" w:space="0" w:color="auto"/>
                <w:right w:val="none" w:sz="0" w:space="0" w:color="auto"/>
              </w:divBdr>
              <w:divsChild>
                <w:div w:id="1101875990">
                  <w:marLeft w:val="0"/>
                  <w:marRight w:val="0"/>
                  <w:marTop w:val="0"/>
                  <w:marBottom w:val="0"/>
                  <w:divBdr>
                    <w:top w:val="none" w:sz="0" w:space="0" w:color="auto"/>
                    <w:left w:val="none" w:sz="0" w:space="0" w:color="auto"/>
                    <w:bottom w:val="none" w:sz="0" w:space="0" w:color="auto"/>
                    <w:right w:val="none" w:sz="0" w:space="0" w:color="auto"/>
                  </w:divBdr>
                  <w:divsChild>
                    <w:div w:id="977800445">
                      <w:marLeft w:val="0"/>
                      <w:marRight w:val="0"/>
                      <w:marTop w:val="0"/>
                      <w:marBottom w:val="0"/>
                      <w:divBdr>
                        <w:top w:val="none" w:sz="0" w:space="0" w:color="auto"/>
                        <w:left w:val="none" w:sz="0" w:space="0" w:color="auto"/>
                        <w:bottom w:val="none" w:sz="0" w:space="0" w:color="auto"/>
                        <w:right w:val="none" w:sz="0" w:space="0" w:color="auto"/>
                      </w:divBdr>
                      <w:divsChild>
                        <w:div w:id="40160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7738">
          <w:marLeft w:val="0"/>
          <w:marRight w:val="0"/>
          <w:marTop w:val="0"/>
          <w:marBottom w:val="0"/>
          <w:divBdr>
            <w:top w:val="none" w:sz="0" w:space="0" w:color="auto"/>
            <w:left w:val="none" w:sz="0" w:space="0" w:color="auto"/>
            <w:bottom w:val="none" w:sz="0" w:space="0" w:color="auto"/>
            <w:right w:val="none" w:sz="0" w:space="0" w:color="auto"/>
          </w:divBdr>
          <w:divsChild>
            <w:div w:id="990249512">
              <w:marLeft w:val="0"/>
              <w:marRight w:val="0"/>
              <w:marTop w:val="0"/>
              <w:marBottom w:val="0"/>
              <w:divBdr>
                <w:top w:val="none" w:sz="0" w:space="0" w:color="auto"/>
                <w:left w:val="none" w:sz="0" w:space="0" w:color="auto"/>
                <w:bottom w:val="none" w:sz="0" w:space="0" w:color="auto"/>
                <w:right w:val="none" w:sz="0" w:space="0" w:color="auto"/>
              </w:divBdr>
              <w:divsChild>
                <w:div w:id="19819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7232">
      <w:bodyDiv w:val="1"/>
      <w:marLeft w:val="0"/>
      <w:marRight w:val="0"/>
      <w:marTop w:val="0"/>
      <w:marBottom w:val="0"/>
      <w:divBdr>
        <w:top w:val="none" w:sz="0" w:space="0" w:color="auto"/>
        <w:left w:val="none" w:sz="0" w:space="0" w:color="auto"/>
        <w:bottom w:val="none" w:sz="0" w:space="0" w:color="auto"/>
        <w:right w:val="none" w:sz="0" w:space="0" w:color="auto"/>
      </w:divBdr>
    </w:div>
    <w:div w:id="938365328">
      <w:bodyDiv w:val="1"/>
      <w:marLeft w:val="0"/>
      <w:marRight w:val="0"/>
      <w:marTop w:val="0"/>
      <w:marBottom w:val="0"/>
      <w:divBdr>
        <w:top w:val="none" w:sz="0" w:space="0" w:color="auto"/>
        <w:left w:val="none" w:sz="0" w:space="0" w:color="auto"/>
        <w:bottom w:val="none" w:sz="0" w:space="0" w:color="auto"/>
        <w:right w:val="none" w:sz="0" w:space="0" w:color="auto"/>
      </w:divBdr>
    </w:div>
    <w:div w:id="946428279">
      <w:bodyDiv w:val="1"/>
      <w:marLeft w:val="0"/>
      <w:marRight w:val="0"/>
      <w:marTop w:val="0"/>
      <w:marBottom w:val="0"/>
      <w:divBdr>
        <w:top w:val="none" w:sz="0" w:space="0" w:color="auto"/>
        <w:left w:val="none" w:sz="0" w:space="0" w:color="auto"/>
        <w:bottom w:val="none" w:sz="0" w:space="0" w:color="auto"/>
        <w:right w:val="none" w:sz="0" w:space="0" w:color="auto"/>
      </w:divBdr>
      <w:divsChild>
        <w:div w:id="1917738959">
          <w:marLeft w:val="0"/>
          <w:marRight w:val="0"/>
          <w:marTop w:val="0"/>
          <w:marBottom w:val="0"/>
          <w:divBdr>
            <w:top w:val="none" w:sz="0" w:space="0" w:color="auto"/>
            <w:left w:val="none" w:sz="0" w:space="0" w:color="auto"/>
            <w:bottom w:val="none" w:sz="0" w:space="0" w:color="auto"/>
            <w:right w:val="none" w:sz="0" w:space="0" w:color="auto"/>
          </w:divBdr>
          <w:divsChild>
            <w:div w:id="1740789299">
              <w:marLeft w:val="0"/>
              <w:marRight w:val="0"/>
              <w:marTop w:val="0"/>
              <w:marBottom w:val="0"/>
              <w:divBdr>
                <w:top w:val="none" w:sz="0" w:space="0" w:color="auto"/>
                <w:left w:val="none" w:sz="0" w:space="0" w:color="auto"/>
                <w:bottom w:val="none" w:sz="0" w:space="0" w:color="auto"/>
                <w:right w:val="none" w:sz="0" w:space="0" w:color="auto"/>
              </w:divBdr>
              <w:divsChild>
                <w:div w:id="137103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17345">
      <w:bodyDiv w:val="1"/>
      <w:marLeft w:val="0"/>
      <w:marRight w:val="0"/>
      <w:marTop w:val="0"/>
      <w:marBottom w:val="0"/>
      <w:divBdr>
        <w:top w:val="none" w:sz="0" w:space="0" w:color="auto"/>
        <w:left w:val="none" w:sz="0" w:space="0" w:color="auto"/>
        <w:bottom w:val="none" w:sz="0" w:space="0" w:color="auto"/>
        <w:right w:val="none" w:sz="0" w:space="0" w:color="auto"/>
      </w:divBdr>
      <w:divsChild>
        <w:div w:id="378673792">
          <w:marLeft w:val="0"/>
          <w:marRight w:val="0"/>
          <w:marTop w:val="0"/>
          <w:marBottom w:val="0"/>
          <w:divBdr>
            <w:top w:val="none" w:sz="0" w:space="0" w:color="auto"/>
            <w:left w:val="none" w:sz="0" w:space="0" w:color="auto"/>
            <w:bottom w:val="none" w:sz="0" w:space="0" w:color="auto"/>
            <w:right w:val="none" w:sz="0" w:space="0" w:color="auto"/>
          </w:divBdr>
        </w:div>
        <w:div w:id="1932619541">
          <w:marLeft w:val="0"/>
          <w:marRight w:val="0"/>
          <w:marTop w:val="0"/>
          <w:marBottom w:val="0"/>
          <w:divBdr>
            <w:top w:val="none" w:sz="0" w:space="0" w:color="auto"/>
            <w:left w:val="none" w:sz="0" w:space="0" w:color="auto"/>
            <w:bottom w:val="none" w:sz="0" w:space="0" w:color="auto"/>
            <w:right w:val="none" w:sz="0" w:space="0" w:color="auto"/>
          </w:divBdr>
        </w:div>
      </w:divsChild>
    </w:div>
    <w:div w:id="947857502">
      <w:bodyDiv w:val="1"/>
      <w:marLeft w:val="0"/>
      <w:marRight w:val="0"/>
      <w:marTop w:val="0"/>
      <w:marBottom w:val="0"/>
      <w:divBdr>
        <w:top w:val="none" w:sz="0" w:space="0" w:color="auto"/>
        <w:left w:val="none" w:sz="0" w:space="0" w:color="auto"/>
        <w:bottom w:val="none" w:sz="0" w:space="0" w:color="auto"/>
        <w:right w:val="none" w:sz="0" w:space="0" w:color="auto"/>
      </w:divBdr>
    </w:div>
    <w:div w:id="950665431">
      <w:bodyDiv w:val="1"/>
      <w:marLeft w:val="0"/>
      <w:marRight w:val="0"/>
      <w:marTop w:val="0"/>
      <w:marBottom w:val="0"/>
      <w:divBdr>
        <w:top w:val="none" w:sz="0" w:space="0" w:color="auto"/>
        <w:left w:val="none" w:sz="0" w:space="0" w:color="auto"/>
        <w:bottom w:val="none" w:sz="0" w:space="0" w:color="auto"/>
        <w:right w:val="none" w:sz="0" w:space="0" w:color="auto"/>
      </w:divBdr>
    </w:div>
    <w:div w:id="957644390">
      <w:bodyDiv w:val="1"/>
      <w:marLeft w:val="0"/>
      <w:marRight w:val="0"/>
      <w:marTop w:val="0"/>
      <w:marBottom w:val="0"/>
      <w:divBdr>
        <w:top w:val="none" w:sz="0" w:space="0" w:color="auto"/>
        <w:left w:val="none" w:sz="0" w:space="0" w:color="auto"/>
        <w:bottom w:val="none" w:sz="0" w:space="0" w:color="auto"/>
        <w:right w:val="none" w:sz="0" w:space="0" w:color="auto"/>
      </w:divBdr>
    </w:div>
    <w:div w:id="962422608">
      <w:bodyDiv w:val="1"/>
      <w:marLeft w:val="0"/>
      <w:marRight w:val="0"/>
      <w:marTop w:val="0"/>
      <w:marBottom w:val="0"/>
      <w:divBdr>
        <w:top w:val="none" w:sz="0" w:space="0" w:color="auto"/>
        <w:left w:val="none" w:sz="0" w:space="0" w:color="auto"/>
        <w:bottom w:val="none" w:sz="0" w:space="0" w:color="auto"/>
        <w:right w:val="none" w:sz="0" w:space="0" w:color="auto"/>
      </w:divBdr>
      <w:divsChild>
        <w:div w:id="448595625">
          <w:marLeft w:val="0"/>
          <w:marRight w:val="0"/>
          <w:marTop w:val="0"/>
          <w:marBottom w:val="0"/>
          <w:divBdr>
            <w:top w:val="none" w:sz="0" w:space="0" w:color="auto"/>
            <w:left w:val="none" w:sz="0" w:space="0" w:color="auto"/>
            <w:bottom w:val="none" w:sz="0" w:space="0" w:color="auto"/>
            <w:right w:val="none" w:sz="0" w:space="0" w:color="auto"/>
          </w:divBdr>
          <w:divsChild>
            <w:div w:id="277639790">
              <w:marLeft w:val="0"/>
              <w:marRight w:val="0"/>
              <w:marTop w:val="0"/>
              <w:marBottom w:val="0"/>
              <w:divBdr>
                <w:top w:val="none" w:sz="0" w:space="0" w:color="auto"/>
                <w:left w:val="none" w:sz="0" w:space="0" w:color="auto"/>
                <w:bottom w:val="none" w:sz="0" w:space="0" w:color="auto"/>
                <w:right w:val="none" w:sz="0" w:space="0" w:color="auto"/>
              </w:divBdr>
            </w:div>
          </w:divsChild>
        </w:div>
        <w:div w:id="456804057">
          <w:marLeft w:val="0"/>
          <w:marRight w:val="0"/>
          <w:marTop w:val="0"/>
          <w:marBottom w:val="0"/>
          <w:divBdr>
            <w:top w:val="none" w:sz="0" w:space="0" w:color="auto"/>
            <w:left w:val="none" w:sz="0" w:space="0" w:color="auto"/>
            <w:bottom w:val="none" w:sz="0" w:space="0" w:color="auto"/>
            <w:right w:val="none" w:sz="0" w:space="0" w:color="auto"/>
          </w:divBdr>
          <w:divsChild>
            <w:div w:id="2024084946">
              <w:marLeft w:val="0"/>
              <w:marRight w:val="0"/>
              <w:marTop w:val="0"/>
              <w:marBottom w:val="0"/>
              <w:divBdr>
                <w:top w:val="none" w:sz="0" w:space="0" w:color="auto"/>
                <w:left w:val="none" w:sz="0" w:space="0" w:color="auto"/>
                <w:bottom w:val="none" w:sz="0" w:space="0" w:color="auto"/>
                <w:right w:val="none" w:sz="0" w:space="0" w:color="auto"/>
              </w:divBdr>
            </w:div>
          </w:divsChild>
        </w:div>
        <w:div w:id="505362958">
          <w:marLeft w:val="0"/>
          <w:marRight w:val="0"/>
          <w:marTop w:val="0"/>
          <w:marBottom w:val="0"/>
          <w:divBdr>
            <w:top w:val="none" w:sz="0" w:space="0" w:color="auto"/>
            <w:left w:val="none" w:sz="0" w:space="0" w:color="auto"/>
            <w:bottom w:val="none" w:sz="0" w:space="0" w:color="auto"/>
            <w:right w:val="none" w:sz="0" w:space="0" w:color="auto"/>
          </w:divBdr>
          <w:divsChild>
            <w:div w:id="1349595774">
              <w:marLeft w:val="0"/>
              <w:marRight w:val="0"/>
              <w:marTop w:val="0"/>
              <w:marBottom w:val="0"/>
              <w:divBdr>
                <w:top w:val="none" w:sz="0" w:space="0" w:color="auto"/>
                <w:left w:val="none" w:sz="0" w:space="0" w:color="auto"/>
                <w:bottom w:val="none" w:sz="0" w:space="0" w:color="auto"/>
                <w:right w:val="none" w:sz="0" w:space="0" w:color="auto"/>
              </w:divBdr>
            </w:div>
          </w:divsChild>
        </w:div>
        <w:div w:id="1803384810">
          <w:marLeft w:val="0"/>
          <w:marRight w:val="0"/>
          <w:marTop w:val="0"/>
          <w:marBottom w:val="0"/>
          <w:divBdr>
            <w:top w:val="none" w:sz="0" w:space="0" w:color="auto"/>
            <w:left w:val="none" w:sz="0" w:space="0" w:color="auto"/>
            <w:bottom w:val="none" w:sz="0" w:space="0" w:color="auto"/>
            <w:right w:val="none" w:sz="0" w:space="0" w:color="auto"/>
          </w:divBdr>
          <w:divsChild>
            <w:div w:id="1171676489">
              <w:marLeft w:val="0"/>
              <w:marRight w:val="0"/>
              <w:marTop w:val="0"/>
              <w:marBottom w:val="0"/>
              <w:divBdr>
                <w:top w:val="none" w:sz="0" w:space="0" w:color="auto"/>
                <w:left w:val="none" w:sz="0" w:space="0" w:color="auto"/>
                <w:bottom w:val="none" w:sz="0" w:space="0" w:color="auto"/>
                <w:right w:val="none" w:sz="0" w:space="0" w:color="auto"/>
              </w:divBdr>
            </w:div>
          </w:divsChild>
        </w:div>
        <w:div w:id="1850605850">
          <w:marLeft w:val="0"/>
          <w:marRight w:val="0"/>
          <w:marTop w:val="0"/>
          <w:marBottom w:val="0"/>
          <w:divBdr>
            <w:top w:val="none" w:sz="0" w:space="0" w:color="auto"/>
            <w:left w:val="none" w:sz="0" w:space="0" w:color="auto"/>
            <w:bottom w:val="none" w:sz="0" w:space="0" w:color="auto"/>
            <w:right w:val="none" w:sz="0" w:space="0" w:color="auto"/>
          </w:divBdr>
          <w:divsChild>
            <w:div w:id="44866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08227">
      <w:bodyDiv w:val="1"/>
      <w:marLeft w:val="0"/>
      <w:marRight w:val="0"/>
      <w:marTop w:val="0"/>
      <w:marBottom w:val="0"/>
      <w:divBdr>
        <w:top w:val="none" w:sz="0" w:space="0" w:color="auto"/>
        <w:left w:val="none" w:sz="0" w:space="0" w:color="auto"/>
        <w:bottom w:val="none" w:sz="0" w:space="0" w:color="auto"/>
        <w:right w:val="none" w:sz="0" w:space="0" w:color="auto"/>
      </w:divBdr>
    </w:div>
    <w:div w:id="967584917">
      <w:bodyDiv w:val="1"/>
      <w:marLeft w:val="0"/>
      <w:marRight w:val="0"/>
      <w:marTop w:val="0"/>
      <w:marBottom w:val="0"/>
      <w:divBdr>
        <w:top w:val="none" w:sz="0" w:space="0" w:color="auto"/>
        <w:left w:val="none" w:sz="0" w:space="0" w:color="auto"/>
        <w:bottom w:val="none" w:sz="0" w:space="0" w:color="auto"/>
        <w:right w:val="none" w:sz="0" w:space="0" w:color="auto"/>
      </w:divBdr>
    </w:div>
    <w:div w:id="967735676">
      <w:bodyDiv w:val="1"/>
      <w:marLeft w:val="0"/>
      <w:marRight w:val="0"/>
      <w:marTop w:val="0"/>
      <w:marBottom w:val="0"/>
      <w:divBdr>
        <w:top w:val="none" w:sz="0" w:space="0" w:color="auto"/>
        <w:left w:val="none" w:sz="0" w:space="0" w:color="auto"/>
        <w:bottom w:val="none" w:sz="0" w:space="0" w:color="auto"/>
        <w:right w:val="none" w:sz="0" w:space="0" w:color="auto"/>
      </w:divBdr>
    </w:div>
    <w:div w:id="975375907">
      <w:bodyDiv w:val="1"/>
      <w:marLeft w:val="0"/>
      <w:marRight w:val="0"/>
      <w:marTop w:val="0"/>
      <w:marBottom w:val="0"/>
      <w:divBdr>
        <w:top w:val="none" w:sz="0" w:space="0" w:color="auto"/>
        <w:left w:val="none" w:sz="0" w:space="0" w:color="auto"/>
        <w:bottom w:val="none" w:sz="0" w:space="0" w:color="auto"/>
        <w:right w:val="none" w:sz="0" w:space="0" w:color="auto"/>
      </w:divBdr>
    </w:div>
    <w:div w:id="984090233">
      <w:bodyDiv w:val="1"/>
      <w:marLeft w:val="0"/>
      <w:marRight w:val="0"/>
      <w:marTop w:val="0"/>
      <w:marBottom w:val="0"/>
      <w:divBdr>
        <w:top w:val="none" w:sz="0" w:space="0" w:color="auto"/>
        <w:left w:val="none" w:sz="0" w:space="0" w:color="auto"/>
        <w:bottom w:val="none" w:sz="0" w:space="0" w:color="auto"/>
        <w:right w:val="none" w:sz="0" w:space="0" w:color="auto"/>
      </w:divBdr>
    </w:div>
    <w:div w:id="992946522">
      <w:bodyDiv w:val="1"/>
      <w:marLeft w:val="0"/>
      <w:marRight w:val="0"/>
      <w:marTop w:val="0"/>
      <w:marBottom w:val="0"/>
      <w:divBdr>
        <w:top w:val="none" w:sz="0" w:space="0" w:color="auto"/>
        <w:left w:val="none" w:sz="0" w:space="0" w:color="auto"/>
        <w:bottom w:val="none" w:sz="0" w:space="0" w:color="auto"/>
        <w:right w:val="none" w:sz="0" w:space="0" w:color="auto"/>
      </w:divBdr>
    </w:div>
    <w:div w:id="993097546">
      <w:bodyDiv w:val="1"/>
      <w:marLeft w:val="0"/>
      <w:marRight w:val="0"/>
      <w:marTop w:val="0"/>
      <w:marBottom w:val="0"/>
      <w:divBdr>
        <w:top w:val="none" w:sz="0" w:space="0" w:color="auto"/>
        <w:left w:val="none" w:sz="0" w:space="0" w:color="auto"/>
        <w:bottom w:val="none" w:sz="0" w:space="0" w:color="auto"/>
        <w:right w:val="none" w:sz="0" w:space="0" w:color="auto"/>
      </w:divBdr>
    </w:div>
    <w:div w:id="993995037">
      <w:bodyDiv w:val="1"/>
      <w:marLeft w:val="0"/>
      <w:marRight w:val="0"/>
      <w:marTop w:val="0"/>
      <w:marBottom w:val="0"/>
      <w:divBdr>
        <w:top w:val="none" w:sz="0" w:space="0" w:color="auto"/>
        <w:left w:val="none" w:sz="0" w:space="0" w:color="auto"/>
        <w:bottom w:val="none" w:sz="0" w:space="0" w:color="auto"/>
        <w:right w:val="none" w:sz="0" w:space="0" w:color="auto"/>
      </w:divBdr>
      <w:divsChild>
        <w:div w:id="486635633">
          <w:marLeft w:val="0"/>
          <w:marRight w:val="0"/>
          <w:marTop w:val="0"/>
          <w:marBottom w:val="0"/>
          <w:divBdr>
            <w:top w:val="none" w:sz="0" w:space="0" w:color="auto"/>
            <w:left w:val="none" w:sz="0" w:space="0" w:color="auto"/>
            <w:bottom w:val="none" w:sz="0" w:space="0" w:color="auto"/>
            <w:right w:val="none" w:sz="0" w:space="0" w:color="auto"/>
          </w:divBdr>
        </w:div>
        <w:div w:id="2038381923">
          <w:marLeft w:val="0"/>
          <w:marRight w:val="0"/>
          <w:marTop w:val="0"/>
          <w:marBottom w:val="0"/>
          <w:divBdr>
            <w:top w:val="none" w:sz="0" w:space="0" w:color="auto"/>
            <w:left w:val="none" w:sz="0" w:space="0" w:color="auto"/>
            <w:bottom w:val="none" w:sz="0" w:space="0" w:color="auto"/>
            <w:right w:val="none" w:sz="0" w:space="0" w:color="auto"/>
          </w:divBdr>
        </w:div>
      </w:divsChild>
    </w:div>
    <w:div w:id="994988592">
      <w:bodyDiv w:val="1"/>
      <w:marLeft w:val="0"/>
      <w:marRight w:val="0"/>
      <w:marTop w:val="0"/>
      <w:marBottom w:val="0"/>
      <w:divBdr>
        <w:top w:val="none" w:sz="0" w:space="0" w:color="auto"/>
        <w:left w:val="none" w:sz="0" w:space="0" w:color="auto"/>
        <w:bottom w:val="none" w:sz="0" w:space="0" w:color="auto"/>
        <w:right w:val="none" w:sz="0" w:space="0" w:color="auto"/>
      </w:divBdr>
    </w:div>
    <w:div w:id="1000084460">
      <w:bodyDiv w:val="1"/>
      <w:marLeft w:val="0"/>
      <w:marRight w:val="0"/>
      <w:marTop w:val="0"/>
      <w:marBottom w:val="0"/>
      <w:divBdr>
        <w:top w:val="none" w:sz="0" w:space="0" w:color="auto"/>
        <w:left w:val="none" w:sz="0" w:space="0" w:color="auto"/>
        <w:bottom w:val="none" w:sz="0" w:space="0" w:color="auto"/>
        <w:right w:val="none" w:sz="0" w:space="0" w:color="auto"/>
      </w:divBdr>
      <w:divsChild>
        <w:div w:id="1631593308">
          <w:marLeft w:val="0"/>
          <w:marRight w:val="0"/>
          <w:marTop w:val="0"/>
          <w:marBottom w:val="0"/>
          <w:divBdr>
            <w:top w:val="none" w:sz="0" w:space="0" w:color="auto"/>
            <w:left w:val="none" w:sz="0" w:space="0" w:color="auto"/>
            <w:bottom w:val="none" w:sz="0" w:space="0" w:color="auto"/>
            <w:right w:val="none" w:sz="0" w:space="0" w:color="auto"/>
          </w:divBdr>
        </w:div>
        <w:div w:id="361054828">
          <w:marLeft w:val="0"/>
          <w:marRight w:val="0"/>
          <w:marTop w:val="0"/>
          <w:marBottom w:val="0"/>
          <w:divBdr>
            <w:top w:val="none" w:sz="0" w:space="0" w:color="auto"/>
            <w:left w:val="none" w:sz="0" w:space="0" w:color="auto"/>
            <w:bottom w:val="none" w:sz="0" w:space="0" w:color="auto"/>
            <w:right w:val="none" w:sz="0" w:space="0" w:color="auto"/>
          </w:divBdr>
          <w:divsChild>
            <w:div w:id="9899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0546">
      <w:bodyDiv w:val="1"/>
      <w:marLeft w:val="0"/>
      <w:marRight w:val="0"/>
      <w:marTop w:val="0"/>
      <w:marBottom w:val="0"/>
      <w:divBdr>
        <w:top w:val="none" w:sz="0" w:space="0" w:color="auto"/>
        <w:left w:val="none" w:sz="0" w:space="0" w:color="auto"/>
        <w:bottom w:val="none" w:sz="0" w:space="0" w:color="auto"/>
        <w:right w:val="none" w:sz="0" w:space="0" w:color="auto"/>
      </w:divBdr>
    </w:div>
    <w:div w:id="1008286368">
      <w:bodyDiv w:val="1"/>
      <w:marLeft w:val="0"/>
      <w:marRight w:val="0"/>
      <w:marTop w:val="0"/>
      <w:marBottom w:val="0"/>
      <w:divBdr>
        <w:top w:val="none" w:sz="0" w:space="0" w:color="auto"/>
        <w:left w:val="none" w:sz="0" w:space="0" w:color="auto"/>
        <w:bottom w:val="none" w:sz="0" w:space="0" w:color="auto"/>
        <w:right w:val="none" w:sz="0" w:space="0" w:color="auto"/>
      </w:divBdr>
      <w:divsChild>
        <w:div w:id="120921201">
          <w:marLeft w:val="0"/>
          <w:marRight w:val="0"/>
          <w:marTop w:val="0"/>
          <w:marBottom w:val="0"/>
          <w:divBdr>
            <w:top w:val="none" w:sz="0" w:space="0" w:color="auto"/>
            <w:left w:val="none" w:sz="0" w:space="0" w:color="auto"/>
            <w:bottom w:val="none" w:sz="0" w:space="0" w:color="auto"/>
            <w:right w:val="none" w:sz="0" w:space="0" w:color="auto"/>
          </w:divBdr>
          <w:divsChild>
            <w:div w:id="459349805">
              <w:marLeft w:val="0"/>
              <w:marRight w:val="0"/>
              <w:marTop w:val="0"/>
              <w:marBottom w:val="0"/>
              <w:divBdr>
                <w:top w:val="none" w:sz="0" w:space="0" w:color="auto"/>
                <w:left w:val="none" w:sz="0" w:space="0" w:color="auto"/>
                <w:bottom w:val="none" w:sz="0" w:space="0" w:color="auto"/>
                <w:right w:val="none" w:sz="0" w:space="0" w:color="auto"/>
              </w:divBdr>
              <w:divsChild>
                <w:div w:id="1862818773">
                  <w:marLeft w:val="0"/>
                  <w:marRight w:val="0"/>
                  <w:marTop w:val="0"/>
                  <w:marBottom w:val="0"/>
                  <w:divBdr>
                    <w:top w:val="none" w:sz="0" w:space="0" w:color="auto"/>
                    <w:left w:val="none" w:sz="0" w:space="0" w:color="auto"/>
                    <w:bottom w:val="none" w:sz="0" w:space="0" w:color="auto"/>
                    <w:right w:val="none" w:sz="0" w:space="0" w:color="auto"/>
                  </w:divBdr>
                  <w:divsChild>
                    <w:div w:id="3570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303291">
          <w:marLeft w:val="0"/>
          <w:marRight w:val="0"/>
          <w:marTop w:val="0"/>
          <w:marBottom w:val="0"/>
          <w:divBdr>
            <w:top w:val="none" w:sz="0" w:space="0" w:color="auto"/>
            <w:left w:val="none" w:sz="0" w:space="0" w:color="auto"/>
            <w:bottom w:val="none" w:sz="0" w:space="0" w:color="auto"/>
            <w:right w:val="none" w:sz="0" w:space="0" w:color="auto"/>
          </w:divBdr>
          <w:divsChild>
            <w:div w:id="295334752">
              <w:marLeft w:val="0"/>
              <w:marRight w:val="0"/>
              <w:marTop w:val="0"/>
              <w:marBottom w:val="0"/>
              <w:divBdr>
                <w:top w:val="none" w:sz="0" w:space="0" w:color="auto"/>
                <w:left w:val="none" w:sz="0" w:space="0" w:color="auto"/>
                <w:bottom w:val="none" w:sz="0" w:space="0" w:color="auto"/>
                <w:right w:val="none" w:sz="0" w:space="0" w:color="auto"/>
              </w:divBdr>
            </w:div>
            <w:div w:id="565917980">
              <w:marLeft w:val="0"/>
              <w:marRight w:val="0"/>
              <w:marTop w:val="0"/>
              <w:marBottom w:val="0"/>
              <w:divBdr>
                <w:top w:val="none" w:sz="0" w:space="0" w:color="auto"/>
                <w:left w:val="none" w:sz="0" w:space="0" w:color="auto"/>
                <w:bottom w:val="none" w:sz="0" w:space="0" w:color="auto"/>
                <w:right w:val="none" w:sz="0" w:space="0" w:color="auto"/>
              </w:divBdr>
              <w:divsChild>
                <w:div w:id="1384405262">
                  <w:marLeft w:val="0"/>
                  <w:marRight w:val="0"/>
                  <w:marTop w:val="0"/>
                  <w:marBottom w:val="0"/>
                  <w:divBdr>
                    <w:top w:val="none" w:sz="0" w:space="0" w:color="auto"/>
                    <w:left w:val="none" w:sz="0" w:space="0" w:color="auto"/>
                    <w:bottom w:val="none" w:sz="0" w:space="0" w:color="auto"/>
                    <w:right w:val="none" w:sz="0" w:space="0" w:color="auto"/>
                  </w:divBdr>
                  <w:divsChild>
                    <w:div w:id="9781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50926">
      <w:bodyDiv w:val="1"/>
      <w:marLeft w:val="0"/>
      <w:marRight w:val="0"/>
      <w:marTop w:val="0"/>
      <w:marBottom w:val="0"/>
      <w:divBdr>
        <w:top w:val="none" w:sz="0" w:space="0" w:color="auto"/>
        <w:left w:val="none" w:sz="0" w:space="0" w:color="auto"/>
        <w:bottom w:val="none" w:sz="0" w:space="0" w:color="auto"/>
        <w:right w:val="none" w:sz="0" w:space="0" w:color="auto"/>
      </w:divBdr>
      <w:divsChild>
        <w:div w:id="17704953">
          <w:marLeft w:val="0"/>
          <w:marRight w:val="0"/>
          <w:marTop w:val="0"/>
          <w:marBottom w:val="0"/>
          <w:divBdr>
            <w:top w:val="none" w:sz="0" w:space="0" w:color="auto"/>
            <w:left w:val="none" w:sz="0" w:space="0" w:color="auto"/>
            <w:bottom w:val="none" w:sz="0" w:space="0" w:color="auto"/>
            <w:right w:val="none" w:sz="0" w:space="0" w:color="auto"/>
          </w:divBdr>
        </w:div>
        <w:div w:id="102506037">
          <w:marLeft w:val="0"/>
          <w:marRight w:val="0"/>
          <w:marTop w:val="0"/>
          <w:marBottom w:val="0"/>
          <w:divBdr>
            <w:top w:val="none" w:sz="0" w:space="0" w:color="auto"/>
            <w:left w:val="none" w:sz="0" w:space="0" w:color="auto"/>
            <w:bottom w:val="none" w:sz="0" w:space="0" w:color="auto"/>
            <w:right w:val="none" w:sz="0" w:space="0" w:color="auto"/>
          </w:divBdr>
        </w:div>
        <w:div w:id="127212388">
          <w:marLeft w:val="0"/>
          <w:marRight w:val="0"/>
          <w:marTop w:val="0"/>
          <w:marBottom w:val="0"/>
          <w:divBdr>
            <w:top w:val="none" w:sz="0" w:space="0" w:color="auto"/>
            <w:left w:val="none" w:sz="0" w:space="0" w:color="auto"/>
            <w:bottom w:val="none" w:sz="0" w:space="0" w:color="auto"/>
            <w:right w:val="none" w:sz="0" w:space="0" w:color="auto"/>
          </w:divBdr>
        </w:div>
        <w:div w:id="166218149">
          <w:marLeft w:val="0"/>
          <w:marRight w:val="0"/>
          <w:marTop w:val="0"/>
          <w:marBottom w:val="0"/>
          <w:divBdr>
            <w:top w:val="none" w:sz="0" w:space="0" w:color="auto"/>
            <w:left w:val="none" w:sz="0" w:space="0" w:color="auto"/>
            <w:bottom w:val="none" w:sz="0" w:space="0" w:color="auto"/>
            <w:right w:val="none" w:sz="0" w:space="0" w:color="auto"/>
          </w:divBdr>
        </w:div>
        <w:div w:id="298726926">
          <w:marLeft w:val="0"/>
          <w:marRight w:val="0"/>
          <w:marTop w:val="0"/>
          <w:marBottom w:val="0"/>
          <w:divBdr>
            <w:top w:val="none" w:sz="0" w:space="0" w:color="auto"/>
            <w:left w:val="none" w:sz="0" w:space="0" w:color="auto"/>
            <w:bottom w:val="none" w:sz="0" w:space="0" w:color="auto"/>
            <w:right w:val="none" w:sz="0" w:space="0" w:color="auto"/>
          </w:divBdr>
        </w:div>
        <w:div w:id="339359582">
          <w:marLeft w:val="0"/>
          <w:marRight w:val="0"/>
          <w:marTop w:val="0"/>
          <w:marBottom w:val="0"/>
          <w:divBdr>
            <w:top w:val="none" w:sz="0" w:space="0" w:color="auto"/>
            <w:left w:val="none" w:sz="0" w:space="0" w:color="auto"/>
            <w:bottom w:val="none" w:sz="0" w:space="0" w:color="auto"/>
            <w:right w:val="none" w:sz="0" w:space="0" w:color="auto"/>
          </w:divBdr>
        </w:div>
        <w:div w:id="451556223">
          <w:marLeft w:val="0"/>
          <w:marRight w:val="0"/>
          <w:marTop w:val="0"/>
          <w:marBottom w:val="0"/>
          <w:divBdr>
            <w:top w:val="none" w:sz="0" w:space="0" w:color="auto"/>
            <w:left w:val="none" w:sz="0" w:space="0" w:color="auto"/>
            <w:bottom w:val="none" w:sz="0" w:space="0" w:color="auto"/>
            <w:right w:val="none" w:sz="0" w:space="0" w:color="auto"/>
          </w:divBdr>
        </w:div>
        <w:div w:id="452133875">
          <w:marLeft w:val="0"/>
          <w:marRight w:val="0"/>
          <w:marTop w:val="0"/>
          <w:marBottom w:val="0"/>
          <w:divBdr>
            <w:top w:val="none" w:sz="0" w:space="0" w:color="auto"/>
            <w:left w:val="none" w:sz="0" w:space="0" w:color="auto"/>
            <w:bottom w:val="none" w:sz="0" w:space="0" w:color="auto"/>
            <w:right w:val="none" w:sz="0" w:space="0" w:color="auto"/>
          </w:divBdr>
        </w:div>
        <w:div w:id="714621565">
          <w:marLeft w:val="0"/>
          <w:marRight w:val="0"/>
          <w:marTop w:val="0"/>
          <w:marBottom w:val="0"/>
          <w:divBdr>
            <w:top w:val="none" w:sz="0" w:space="0" w:color="auto"/>
            <w:left w:val="none" w:sz="0" w:space="0" w:color="auto"/>
            <w:bottom w:val="none" w:sz="0" w:space="0" w:color="auto"/>
            <w:right w:val="none" w:sz="0" w:space="0" w:color="auto"/>
          </w:divBdr>
        </w:div>
        <w:div w:id="716467624">
          <w:marLeft w:val="0"/>
          <w:marRight w:val="0"/>
          <w:marTop w:val="0"/>
          <w:marBottom w:val="0"/>
          <w:divBdr>
            <w:top w:val="none" w:sz="0" w:space="0" w:color="auto"/>
            <w:left w:val="none" w:sz="0" w:space="0" w:color="auto"/>
            <w:bottom w:val="none" w:sz="0" w:space="0" w:color="auto"/>
            <w:right w:val="none" w:sz="0" w:space="0" w:color="auto"/>
          </w:divBdr>
        </w:div>
        <w:div w:id="781798883">
          <w:marLeft w:val="0"/>
          <w:marRight w:val="0"/>
          <w:marTop w:val="0"/>
          <w:marBottom w:val="0"/>
          <w:divBdr>
            <w:top w:val="none" w:sz="0" w:space="0" w:color="auto"/>
            <w:left w:val="none" w:sz="0" w:space="0" w:color="auto"/>
            <w:bottom w:val="none" w:sz="0" w:space="0" w:color="auto"/>
            <w:right w:val="none" w:sz="0" w:space="0" w:color="auto"/>
          </w:divBdr>
        </w:div>
        <w:div w:id="810053660">
          <w:marLeft w:val="0"/>
          <w:marRight w:val="0"/>
          <w:marTop w:val="0"/>
          <w:marBottom w:val="0"/>
          <w:divBdr>
            <w:top w:val="none" w:sz="0" w:space="0" w:color="auto"/>
            <w:left w:val="none" w:sz="0" w:space="0" w:color="auto"/>
            <w:bottom w:val="none" w:sz="0" w:space="0" w:color="auto"/>
            <w:right w:val="none" w:sz="0" w:space="0" w:color="auto"/>
          </w:divBdr>
        </w:div>
        <w:div w:id="819687907">
          <w:marLeft w:val="0"/>
          <w:marRight w:val="0"/>
          <w:marTop w:val="0"/>
          <w:marBottom w:val="0"/>
          <w:divBdr>
            <w:top w:val="none" w:sz="0" w:space="0" w:color="auto"/>
            <w:left w:val="none" w:sz="0" w:space="0" w:color="auto"/>
            <w:bottom w:val="none" w:sz="0" w:space="0" w:color="auto"/>
            <w:right w:val="none" w:sz="0" w:space="0" w:color="auto"/>
          </w:divBdr>
        </w:div>
        <w:div w:id="1030763367">
          <w:marLeft w:val="0"/>
          <w:marRight w:val="0"/>
          <w:marTop w:val="0"/>
          <w:marBottom w:val="0"/>
          <w:divBdr>
            <w:top w:val="none" w:sz="0" w:space="0" w:color="auto"/>
            <w:left w:val="none" w:sz="0" w:space="0" w:color="auto"/>
            <w:bottom w:val="none" w:sz="0" w:space="0" w:color="auto"/>
            <w:right w:val="none" w:sz="0" w:space="0" w:color="auto"/>
          </w:divBdr>
        </w:div>
        <w:div w:id="1257863164">
          <w:marLeft w:val="0"/>
          <w:marRight w:val="0"/>
          <w:marTop w:val="0"/>
          <w:marBottom w:val="0"/>
          <w:divBdr>
            <w:top w:val="none" w:sz="0" w:space="0" w:color="auto"/>
            <w:left w:val="none" w:sz="0" w:space="0" w:color="auto"/>
            <w:bottom w:val="none" w:sz="0" w:space="0" w:color="auto"/>
            <w:right w:val="none" w:sz="0" w:space="0" w:color="auto"/>
          </w:divBdr>
        </w:div>
        <w:div w:id="1331832907">
          <w:marLeft w:val="0"/>
          <w:marRight w:val="0"/>
          <w:marTop w:val="0"/>
          <w:marBottom w:val="0"/>
          <w:divBdr>
            <w:top w:val="none" w:sz="0" w:space="0" w:color="auto"/>
            <w:left w:val="none" w:sz="0" w:space="0" w:color="auto"/>
            <w:bottom w:val="none" w:sz="0" w:space="0" w:color="auto"/>
            <w:right w:val="none" w:sz="0" w:space="0" w:color="auto"/>
          </w:divBdr>
        </w:div>
        <w:div w:id="1438788536">
          <w:marLeft w:val="0"/>
          <w:marRight w:val="0"/>
          <w:marTop w:val="0"/>
          <w:marBottom w:val="0"/>
          <w:divBdr>
            <w:top w:val="none" w:sz="0" w:space="0" w:color="auto"/>
            <w:left w:val="none" w:sz="0" w:space="0" w:color="auto"/>
            <w:bottom w:val="none" w:sz="0" w:space="0" w:color="auto"/>
            <w:right w:val="none" w:sz="0" w:space="0" w:color="auto"/>
          </w:divBdr>
        </w:div>
        <w:div w:id="1508788851">
          <w:marLeft w:val="0"/>
          <w:marRight w:val="0"/>
          <w:marTop w:val="0"/>
          <w:marBottom w:val="0"/>
          <w:divBdr>
            <w:top w:val="none" w:sz="0" w:space="0" w:color="auto"/>
            <w:left w:val="none" w:sz="0" w:space="0" w:color="auto"/>
            <w:bottom w:val="none" w:sz="0" w:space="0" w:color="auto"/>
            <w:right w:val="none" w:sz="0" w:space="0" w:color="auto"/>
          </w:divBdr>
        </w:div>
        <w:div w:id="1584023617">
          <w:marLeft w:val="0"/>
          <w:marRight w:val="0"/>
          <w:marTop w:val="0"/>
          <w:marBottom w:val="0"/>
          <w:divBdr>
            <w:top w:val="none" w:sz="0" w:space="0" w:color="auto"/>
            <w:left w:val="none" w:sz="0" w:space="0" w:color="auto"/>
            <w:bottom w:val="none" w:sz="0" w:space="0" w:color="auto"/>
            <w:right w:val="none" w:sz="0" w:space="0" w:color="auto"/>
          </w:divBdr>
        </w:div>
        <w:div w:id="1626891431">
          <w:marLeft w:val="0"/>
          <w:marRight w:val="0"/>
          <w:marTop w:val="0"/>
          <w:marBottom w:val="0"/>
          <w:divBdr>
            <w:top w:val="none" w:sz="0" w:space="0" w:color="auto"/>
            <w:left w:val="none" w:sz="0" w:space="0" w:color="auto"/>
            <w:bottom w:val="none" w:sz="0" w:space="0" w:color="auto"/>
            <w:right w:val="none" w:sz="0" w:space="0" w:color="auto"/>
          </w:divBdr>
        </w:div>
        <w:div w:id="1789351731">
          <w:marLeft w:val="0"/>
          <w:marRight w:val="0"/>
          <w:marTop w:val="0"/>
          <w:marBottom w:val="0"/>
          <w:divBdr>
            <w:top w:val="none" w:sz="0" w:space="0" w:color="auto"/>
            <w:left w:val="none" w:sz="0" w:space="0" w:color="auto"/>
            <w:bottom w:val="none" w:sz="0" w:space="0" w:color="auto"/>
            <w:right w:val="none" w:sz="0" w:space="0" w:color="auto"/>
          </w:divBdr>
        </w:div>
        <w:div w:id="1873689291">
          <w:marLeft w:val="0"/>
          <w:marRight w:val="0"/>
          <w:marTop w:val="0"/>
          <w:marBottom w:val="0"/>
          <w:divBdr>
            <w:top w:val="none" w:sz="0" w:space="0" w:color="auto"/>
            <w:left w:val="none" w:sz="0" w:space="0" w:color="auto"/>
            <w:bottom w:val="none" w:sz="0" w:space="0" w:color="auto"/>
            <w:right w:val="none" w:sz="0" w:space="0" w:color="auto"/>
          </w:divBdr>
        </w:div>
        <w:div w:id="1876192019">
          <w:marLeft w:val="0"/>
          <w:marRight w:val="0"/>
          <w:marTop w:val="0"/>
          <w:marBottom w:val="0"/>
          <w:divBdr>
            <w:top w:val="none" w:sz="0" w:space="0" w:color="auto"/>
            <w:left w:val="none" w:sz="0" w:space="0" w:color="auto"/>
            <w:bottom w:val="none" w:sz="0" w:space="0" w:color="auto"/>
            <w:right w:val="none" w:sz="0" w:space="0" w:color="auto"/>
          </w:divBdr>
        </w:div>
        <w:div w:id="2126344016">
          <w:marLeft w:val="0"/>
          <w:marRight w:val="0"/>
          <w:marTop w:val="0"/>
          <w:marBottom w:val="0"/>
          <w:divBdr>
            <w:top w:val="none" w:sz="0" w:space="0" w:color="auto"/>
            <w:left w:val="none" w:sz="0" w:space="0" w:color="auto"/>
            <w:bottom w:val="none" w:sz="0" w:space="0" w:color="auto"/>
            <w:right w:val="none" w:sz="0" w:space="0" w:color="auto"/>
          </w:divBdr>
        </w:div>
      </w:divsChild>
    </w:div>
    <w:div w:id="1016495791">
      <w:bodyDiv w:val="1"/>
      <w:marLeft w:val="0"/>
      <w:marRight w:val="0"/>
      <w:marTop w:val="0"/>
      <w:marBottom w:val="0"/>
      <w:divBdr>
        <w:top w:val="none" w:sz="0" w:space="0" w:color="auto"/>
        <w:left w:val="none" w:sz="0" w:space="0" w:color="auto"/>
        <w:bottom w:val="none" w:sz="0" w:space="0" w:color="auto"/>
        <w:right w:val="none" w:sz="0" w:space="0" w:color="auto"/>
      </w:divBdr>
    </w:div>
    <w:div w:id="1023941212">
      <w:bodyDiv w:val="1"/>
      <w:marLeft w:val="0"/>
      <w:marRight w:val="0"/>
      <w:marTop w:val="0"/>
      <w:marBottom w:val="0"/>
      <w:divBdr>
        <w:top w:val="none" w:sz="0" w:space="0" w:color="auto"/>
        <w:left w:val="none" w:sz="0" w:space="0" w:color="auto"/>
        <w:bottom w:val="none" w:sz="0" w:space="0" w:color="auto"/>
        <w:right w:val="none" w:sz="0" w:space="0" w:color="auto"/>
      </w:divBdr>
    </w:div>
    <w:div w:id="1024327963">
      <w:bodyDiv w:val="1"/>
      <w:marLeft w:val="0"/>
      <w:marRight w:val="0"/>
      <w:marTop w:val="0"/>
      <w:marBottom w:val="0"/>
      <w:divBdr>
        <w:top w:val="none" w:sz="0" w:space="0" w:color="auto"/>
        <w:left w:val="none" w:sz="0" w:space="0" w:color="auto"/>
        <w:bottom w:val="none" w:sz="0" w:space="0" w:color="auto"/>
        <w:right w:val="none" w:sz="0" w:space="0" w:color="auto"/>
      </w:divBdr>
    </w:div>
    <w:div w:id="1025134698">
      <w:bodyDiv w:val="1"/>
      <w:marLeft w:val="0"/>
      <w:marRight w:val="0"/>
      <w:marTop w:val="0"/>
      <w:marBottom w:val="0"/>
      <w:divBdr>
        <w:top w:val="none" w:sz="0" w:space="0" w:color="auto"/>
        <w:left w:val="none" w:sz="0" w:space="0" w:color="auto"/>
        <w:bottom w:val="none" w:sz="0" w:space="0" w:color="auto"/>
        <w:right w:val="none" w:sz="0" w:space="0" w:color="auto"/>
      </w:divBdr>
      <w:divsChild>
        <w:div w:id="790324734">
          <w:marLeft w:val="0"/>
          <w:marRight w:val="0"/>
          <w:marTop w:val="0"/>
          <w:marBottom w:val="0"/>
          <w:divBdr>
            <w:top w:val="none" w:sz="0" w:space="0" w:color="auto"/>
            <w:left w:val="none" w:sz="0" w:space="0" w:color="auto"/>
            <w:bottom w:val="none" w:sz="0" w:space="0" w:color="auto"/>
            <w:right w:val="none" w:sz="0" w:space="0" w:color="auto"/>
          </w:divBdr>
          <w:divsChild>
            <w:div w:id="1518428238">
              <w:marLeft w:val="0"/>
              <w:marRight w:val="0"/>
              <w:marTop w:val="0"/>
              <w:marBottom w:val="0"/>
              <w:divBdr>
                <w:top w:val="none" w:sz="0" w:space="0" w:color="auto"/>
                <w:left w:val="none" w:sz="0" w:space="0" w:color="auto"/>
                <w:bottom w:val="none" w:sz="0" w:space="0" w:color="auto"/>
                <w:right w:val="none" w:sz="0" w:space="0" w:color="auto"/>
              </w:divBdr>
              <w:divsChild>
                <w:div w:id="1435520425">
                  <w:marLeft w:val="0"/>
                  <w:marRight w:val="0"/>
                  <w:marTop w:val="0"/>
                  <w:marBottom w:val="0"/>
                  <w:divBdr>
                    <w:top w:val="none" w:sz="0" w:space="0" w:color="auto"/>
                    <w:left w:val="none" w:sz="0" w:space="0" w:color="auto"/>
                    <w:bottom w:val="none" w:sz="0" w:space="0" w:color="auto"/>
                    <w:right w:val="none" w:sz="0" w:space="0" w:color="auto"/>
                  </w:divBdr>
                  <w:divsChild>
                    <w:div w:id="852573537">
                      <w:marLeft w:val="0"/>
                      <w:marRight w:val="0"/>
                      <w:marTop w:val="0"/>
                      <w:marBottom w:val="0"/>
                      <w:divBdr>
                        <w:top w:val="none" w:sz="0" w:space="0" w:color="auto"/>
                        <w:left w:val="none" w:sz="0" w:space="0" w:color="auto"/>
                        <w:bottom w:val="none" w:sz="0" w:space="0" w:color="auto"/>
                        <w:right w:val="none" w:sz="0" w:space="0" w:color="auto"/>
                      </w:divBdr>
                    </w:div>
                    <w:div w:id="10859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9416">
              <w:marLeft w:val="0"/>
              <w:marRight w:val="0"/>
              <w:marTop w:val="0"/>
              <w:marBottom w:val="0"/>
              <w:divBdr>
                <w:top w:val="none" w:sz="0" w:space="0" w:color="auto"/>
                <w:left w:val="none" w:sz="0" w:space="0" w:color="auto"/>
                <w:bottom w:val="none" w:sz="0" w:space="0" w:color="auto"/>
                <w:right w:val="none" w:sz="0" w:space="0" w:color="auto"/>
              </w:divBdr>
              <w:divsChild>
                <w:div w:id="1303117936">
                  <w:marLeft w:val="0"/>
                  <w:marRight w:val="0"/>
                  <w:marTop w:val="0"/>
                  <w:marBottom w:val="0"/>
                  <w:divBdr>
                    <w:top w:val="none" w:sz="0" w:space="0" w:color="auto"/>
                    <w:left w:val="none" w:sz="0" w:space="0" w:color="auto"/>
                    <w:bottom w:val="none" w:sz="0" w:space="0" w:color="auto"/>
                    <w:right w:val="none" w:sz="0" w:space="0" w:color="auto"/>
                  </w:divBdr>
                  <w:divsChild>
                    <w:div w:id="40597384">
                      <w:marLeft w:val="0"/>
                      <w:marRight w:val="0"/>
                      <w:marTop w:val="0"/>
                      <w:marBottom w:val="0"/>
                      <w:divBdr>
                        <w:top w:val="none" w:sz="0" w:space="0" w:color="auto"/>
                        <w:left w:val="none" w:sz="0" w:space="0" w:color="auto"/>
                        <w:bottom w:val="none" w:sz="0" w:space="0" w:color="auto"/>
                        <w:right w:val="none" w:sz="0" w:space="0" w:color="auto"/>
                      </w:divBdr>
                    </w:div>
                    <w:div w:id="9874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7557">
          <w:marLeft w:val="0"/>
          <w:marRight w:val="0"/>
          <w:marTop w:val="0"/>
          <w:marBottom w:val="0"/>
          <w:divBdr>
            <w:top w:val="none" w:sz="0" w:space="0" w:color="auto"/>
            <w:left w:val="none" w:sz="0" w:space="0" w:color="auto"/>
            <w:bottom w:val="none" w:sz="0" w:space="0" w:color="auto"/>
            <w:right w:val="none" w:sz="0" w:space="0" w:color="auto"/>
          </w:divBdr>
          <w:divsChild>
            <w:div w:id="15102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4015">
      <w:bodyDiv w:val="1"/>
      <w:marLeft w:val="0"/>
      <w:marRight w:val="0"/>
      <w:marTop w:val="0"/>
      <w:marBottom w:val="0"/>
      <w:divBdr>
        <w:top w:val="none" w:sz="0" w:space="0" w:color="auto"/>
        <w:left w:val="none" w:sz="0" w:space="0" w:color="auto"/>
        <w:bottom w:val="none" w:sz="0" w:space="0" w:color="auto"/>
        <w:right w:val="none" w:sz="0" w:space="0" w:color="auto"/>
      </w:divBdr>
    </w:div>
    <w:div w:id="1027826883">
      <w:bodyDiv w:val="1"/>
      <w:marLeft w:val="0"/>
      <w:marRight w:val="0"/>
      <w:marTop w:val="0"/>
      <w:marBottom w:val="0"/>
      <w:divBdr>
        <w:top w:val="none" w:sz="0" w:space="0" w:color="auto"/>
        <w:left w:val="none" w:sz="0" w:space="0" w:color="auto"/>
        <w:bottom w:val="none" w:sz="0" w:space="0" w:color="auto"/>
        <w:right w:val="none" w:sz="0" w:space="0" w:color="auto"/>
      </w:divBdr>
    </w:div>
    <w:div w:id="1031421461">
      <w:bodyDiv w:val="1"/>
      <w:marLeft w:val="0"/>
      <w:marRight w:val="0"/>
      <w:marTop w:val="0"/>
      <w:marBottom w:val="0"/>
      <w:divBdr>
        <w:top w:val="none" w:sz="0" w:space="0" w:color="auto"/>
        <w:left w:val="none" w:sz="0" w:space="0" w:color="auto"/>
        <w:bottom w:val="none" w:sz="0" w:space="0" w:color="auto"/>
        <w:right w:val="none" w:sz="0" w:space="0" w:color="auto"/>
      </w:divBdr>
    </w:div>
    <w:div w:id="1039627735">
      <w:bodyDiv w:val="1"/>
      <w:marLeft w:val="0"/>
      <w:marRight w:val="0"/>
      <w:marTop w:val="0"/>
      <w:marBottom w:val="0"/>
      <w:divBdr>
        <w:top w:val="none" w:sz="0" w:space="0" w:color="auto"/>
        <w:left w:val="none" w:sz="0" w:space="0" w:color="auto"/>
        <w:bottom w:val="none" w:sz="0" w:space="0" w:color="auto"/>
        <w:right w:val="none" w:sz="0" w:space="0" w:color="auto"/>
      </w:divBdr>
      <w:divsChild>
        <w:div w:id="59255786">
          <w:marLeft w:val="0"/>
          <w:marRight w:val="0"/>
          <w:marTop w:val="0"/>
          <w:marBottom w:val="0"/>
          <w:divBdr>
            <w:top w:val="none" w:sz="0" w:space="0" w:color="auto"/>
            <w:left w:val="none" w:sz="0" w:space="0" w:color="auto"/>
            <w:bottom w:val="none" w:sz="0" w:space="0" w:color="auto"/>
            <w:right w:val="none" w:sz="0" w:space="0" w:color="auto"/>
          </w:divBdr>
        </w:div>
        <w:div w:id="478815247">
          <w:marLeft w:val="0"/>
          <w:marRight w:val="0"/>
          <w:marTop w:val="0"/>
          <w:marBottom w:val="0"/>
          <w:divBdr>
            <w:top w:val="none" w:sz="0" w:space="0" w:color="auto"/>
            <w:left w:val="none" w:sz="0" w:space="0" w:color="auto"/>
            <w:bottom w:val="none" w:sz="0" w:space="0" w:color="auto"/>
            <w:right w:val="none" w:sz="0" w:space="0" w:color="auto"/>
          </w:divBdr>
        </w:div>
        <w:div w:id="1162282293">
          <w:marLeft w:val="0"/>
          <w:marRight w:val="0"/>
          <w:marTop w:val="0"/>
          <w:marBottom w:val="0"/>
          <w:divBdr>
            <w:top w:val="none" w:sz="0" w:space="0" w:color="auto"/>
            <w:left w:val="none" w:sz="0" w:space="0" w:color="auto"/>
            <w:bottom w:val="none" w:sz="0" w:space="0" w:color="auto"/>
            <w:right w:val="none" w:sz="0" w:space="0" w:color="auto"/>
          </w:divBdr>
        </w:div>
        <w:div w:id="1292328121">
          <w:marLeft w:val="0"/>
          <w:marRight w:val="0"/>
          <w:marTop w:val="0"/>
          <w:marBottom w:val="0"/>
          <w:divBdr>
            <w:top w:val="none" w:sz="0" w:space="0" w:color="auto"/>
            <w:left w:val="none" w:sz="0" w:space="0" w:color="auto"/>
            <w:bottom w:val="none" w:sz="0" w:space="0" w:color="auto"/>
            <w:right w:val="none" w:sz="0" w:space="0" w:color="auto"/>
          </w:divBdr>
        </w:div>
        <w:div w:id="1412046343">
          <w:marLeft w:val="0"/>
          <w:marRight w:val="0"/>
          <w:marTop w:val="0"/>
          <w:marBottom w:val="0"/>
          <w:divBdr>
            <w:top w:val="none" w:sz="0" w:space="0" w:color="auto"/>
            <w:left w:val="none" w:sz="0" w:space="0" w:color="auto"/>
            <w:bottom w:val="none" w:sz="0" w:space="0" w:color="auto"/>
            <w:right w:val="none" w:sz="0" w:space="0" w:color="auto"/>
          </w:divBdr>
        </w:div>
        <w:div w:id="1927378240">
          <w:marLeft w:val="0"/>
          <w:marRight w:val="0"/>
          <w:marTop w:val="0"/>
          <w:marBottom w:val="0"/>
          <w:divBdr>
            <w:top w:val="none" w:sz="0" w:space="0" w:color="auto"/>
            <w:left w:val="none" w:sz="0" w:space="0" w:color="auto"/>
            <w:bottom w:val="none" w:sz="0" w:space="0" w:color="auto"/>
            <w:right w:val="none" w:sz="0" w:space="0" w:color="auto"/>
          </w:divBdr>
        </w:div>
      </w:divsChild>
    </w:div>
    <w:div w:id="1046638624">
      <w:bodyDiv w:val="1"/>
      <w:marLeft w:val="0"/>
      <w:marRight w:val="0"/>
      <w:marTop w:val="0"/>
      <w:marBottom w:val="0"/>
      <w:divBdr>
        <w:top w:val="none" w:sz="0" w:space="0" w:color="auto"/>
        <w:left w:val="none" w:sz="0" w:space="0" w:color="auto"/>
        <w:bottom w:val="none" w:sz="0" w:space="0" w:color="auto"/>
        <w:right w:val="none" w:sz="0" w:space="0" w:color="auto"/>
      </w:divBdr>
    </w:div>
    <w:div w:id="1046760665">
      <w:bodyDiv w:val="1"/>
      <w:marLeft w:val="0"/>
      <w:marRight w:val="0"/>
      <w:marTop w:val="0"/>
      <w:marBottom w:val="0"/>
      <w:divBdr>
        <w:top w:val="none" w:sz="0" w:space="0" w:color="auto"/>
        <w:left w:val="none" w:sz="0" w:space="0" w:color="auto"/>
        <w:bottom w:val="none" w:sz="0" w:space="0" w:color="auto"/>
        <w:right w:val="none" w:sz="0" w:space="0" w:color="auto"/>
      </w:divBdr>
    </w:div>
    <w:div w:id="1049887148">
      <w:bodyDiv w:val="1"/>
      <w:marLeft w:val="0"/>
      <w:marRight w:val="0"/>
      <w:marTop w:val="0"/>
      <w:marBottom w:val="0"/>
      <w:divBdr>
        <w:top w:val="none" w:sz="0" w:space="0" w:color="auto"/>
        <w:left w:val="none" w:sz="0" w:space="0" w:color="auto"/>
        <w:bottom w:val="none" w:sz="0" w:space="0" w:color="auto"/>
        <w:right w:val="none" w:sz="0" w:space="0" w:color="auto"/>
      </w:divBdr>
    </w:div>
    <w:div w:id="1053507862">
      <w:bodyDiv w:val="1"/>
      <w:marLeft w:val="0"/>
      <w:marRight w:val="0"/>
      <w:marTop w:val="0"/>
      <w:marBottom w:val="0"/>
      <w:divBdr>
        <w:top w:val="none" w:sz="0" w:space="0" w:color="auto"/>
        <w:left w:val="none" w:sz="0" w:space="0" w:color="auto"/>
        <w:bottom w:val="none" w:sz="0" w:space="0" w:color="auto"/>
        <w:right w:val="none" w:sz="0" w:space="0" w:color="auto"/>
      </w:divBdr>
    </w:div>
    <w:div w:id="1058086233">
      <w:bodyDiv w:val="1"/>
      <w:marLeft w:val="0"/>
      <w:marRight w:val="0"/>
      <w:marTop w:val="0"/>
      <w:marBottom w:val="0"/>
      <w:divBdr>
        <w:top w:val="none" w:sz="0" w:space="0" w:color="auto"/>
        <w:left w:val="none" w:sz="0" w:space="0" w:color="auto"/>
        <w:bottom w:val="none" w:sz="0" w:space="0" w:color="auto"/>
        <w:right w:val="none" w:sz="0" w:space="0" w:color="auto"/>
      </w:divBdr>
    </w:div>
    <w:div w:id="1058553899">
      <w:bodyDiv w:val="1"/>
      <w:marLeft w:val="0"/>
      <w:marRight w:val="0"/>
      <w:marTop w:val="0"/>
      <w:marBottom w:val="0"/>
      <w:divBdr>
        <w:top w:val="none" w:sz="0" w:space="0" w:color="auto"/>
        <w:left w:val="none" w:sz="0" w:space="0" w:color="auto"/>
        <w:bottom w:val="none" w:sz="0" w:space="0" w:color="auto"/>
        <w:right w:val="none" w:sz="0" w:space="0" w:color="auto"/>
      </w:divBdr>
    </w:div>
    <w:div w:id="1060640722">
      <w:bodyDiv w:val="1"/>
      <w:marLeft w:val="0"/>
      <w:marRight w:val="0"/>
      <w:marTop w:val="0"/>
      <w:marBottom w:val="0"/>
      <w:divBdr>
        <w:top w:val="none" w:sz="0" w:space="0" w:color="auto"/>
        <w:left w:val="none" w:sz="0" w:space="0" w:color="auto"/>
        <w:bottom w:val="none" w:sz="0" w:space="0" w:color="auto"/>
        <w:right w:val="none" w:sz="0" w:space="0" w:color="auto"/>
      </w:divBdr>
    </w:div>
    <w:div w:id="1065296062">
      <w:bodyDiv w:val="1"/>
      <w:marLeft w:val="0"/>
      <w:marRight w:val="0"/>
      <w:marTop w:val="0"/>
      <w:marBottom w:val="0"/>
      <w:divBdr>
        <w:top w:val="none" w:sz="0" w:space="0" w:color="auto"/>
        <w:left w:val="none" w:sz="0" w:space="0" w:color="auto"/>
        <w:bottom w:val="none" w:sz="0" w:space="0" w:color="auto"/>
        <w:right w:val="none" w:sz="0" w:space="0" w:color="auto"/>
      </w:divBdr>
    </w:div>
    <w:div w:id="1067268385">
      <w:bodyDiv w:val="1"/>
      <w:marLeft w:val="0"/>
      <w:marRight w:val="0"/>
      <w:marTop w:val="0"/>
      <w:marBottom w:val="0"/>
      <w:divBdr>
        <w:top w:val="none" w:sz="0" w:space="0" w:color="auto"/>
        <w:left w:val="none" w:sz="0" w:space="0" w:color="auto"/>
        <w:bottom w:val="none" w:sz="0" w:space="0" w:color="auto"/>
        <w:right w:val="none" w:sz="0" w:space="0" w:color="auto"/>
      </w:divBdr>
    </w:div>
    <w:div w:id="1068960397">
      <w:bodyDiv w:val="1"/>
      <w:marLeft w:val="0"/>
      <w:marRight w:val="0"/>
      <w:marTop w:val="0"/>
      <w:marBottom w:val="0"/>
      <w:divBdr>
        <w:top w:val="none" w:sz="0" w:space="0" w:color="auto"/>
        <w:left w:val="none" w:sz="0" w:space="0" w:color="auto"/>
        <w:bottom w:val="none" w:sz="0" w:space="0" w:color="auto"/>
        <w:right w:val="none" w:sz="0" w:space="0" w:color="auto"/>
      </w:divBdr>
      <w:divsChild>
        <w:div w:id="1221552260">
          <w:marLeft w:val="0"/>
          <w:marRight w:val="0"/>
          <w:marTop w:val="0"/>
          <w:marBottom w:val="0"/>
          <w:divBdr>
            <w:top w:val="none" w:sz="0" w:space="0" w:color="auto"/>
            <w:left w:val="none" w:sz="0" w:space="0" w:color="auto"/>
            <w:bottom w:val="none" w:sz="0" w:space="0" w:color="auto"/>
            <w:right w:val="none" w:sz="0" w:space="0" w:color="auto"/>
          </w:divBdr>
        </w:div>
      </w:divsChild>
    </w:div>
    <w:div w:id="1069301682">
      <w:bodyDiv w:val="1"/>
      <w:marLeft w:val="0"/>
      <w:marRight w:val="0"/>
      <w:marTop w:val="0"/>
      <w:marBottom w:val="0"/>
      <w:divBdr>
        <w:top w:val="none" w:sz="0" w:space="0" w:color="auto"/>
        <w:left w:val="none" w:sz="0" w:space="0" w:color="auto"/>
        <w:bottom w:val="none" w:sz="0" w:space="0" w:color="auto"/>
        <w:right w:val="none" w:sz="0" w:space="0" w:color="auto"/>
      </w:divBdr>
    </w:div>
    <w:div w:id="1071586601">
      <w:bodyDiv w:val="1"/>
      <w:marLeft w:val="0"/>
      <w:marRight w:val="0"/>
      <w:marTop w:val="0"/>
      <w:marBottom w:val="0"/>
      <w:divBdr>
        <w:top w:val="none" w:sz="0" w:space="0" w:color="auto"/>
        <w:left w:val="none" w:sz="0" w:space="0" w:color="auto"/>
        <w:bottom w:val="none" w:sz="0" w:space="0" w:color="auto"/>
        <w:right w:val="none" w:sz="0" w:space="0" w:color="auto"/>
      </w:divBdr>
    </w:div>
    <w:div w:id="1074623732">
      <w:bodyDiv w:val="1"/>
      <w:marLeft w:val="0"/>
      <w:marRight w:val="0"/>
      <w:marTop w:val="0"/>
      <w:marBottom w:val="0"/>
      <w:divBdr>
        <w:top w:val="none" w:sz="0" w:space="0" w:color="auto"/>
        <w:left w:val="none" w:sz="0" w:space="0" w:color="auto"/>
        <w:bottom w:val="none" w:sz="0" w:space="0" w:color="auto"/>
        <w:right w:val="none" w:sz="0" w:space="0" w:color="auto"/>
      </w:divBdr>
    </w:div>
    <w:div w:id="1078480028">
      <w:bodyDiv w:val="1"/>
      <w:marLeft w:val="0"/>
      <w:marRight w:val="0"/>
      <w:marTop w:val="0"/>
      <w:marBottom w:val="0"/>
      <w:divBdr>
        <w:top w:val="none" w:sz="0" w:space="0" w:color="auto"/>
        <w:left w:val="none" w:sz="0" w:space="0" w:color="auto"/>
        <w:bottom w:val="none" w:sz="0" w:space="0" w:color="auto"/>
        <w:right w:val="none" w:sz="0" w:space="0" w:color="auto"/>
      </w:divBdr>
      <w:divsChild>
        <w:div w:id="798111633">
          <w:marLeft w:val="0"/>
          <w:marRight w:val="0"/>
          <w:marTop w:val="0"/>
          <w:marBottom w:val="0"/>
          <w:divBdr>
            <w:top w:val="none" w:sz="0" w:space="0" w:color="auto"/>
            <w:left w:val="none" w:sz="0" w:space="0" w:color="auto"/>
            <w:bottom w:val="none" w:sz="0" w:space="0" w:color="auto"/>
            <w:right w:val="none" w:sz="0" w:space="0" w:color="auto"/>
          </w:divBdr>
        </w:div>
        <w:div w:id="1500728384">
          <w:marLeft w:val="0"/>
          <w:marRight w:val="0"/>
          <w:marTop w:val="0"/>
          <w:marBottom w:val="0"/>
          <w:divBdr>
            <w:top w:val="none" w:sz="0" w:space="0" w:color="auto"/>
            <w:left w:val="none" w:sz="0" w:space="0" w:color="auto"/>
            <w:bottom w:val="none" w:sz="0" w:space="0" w:color="auto"/>
            <w:right w:val="none" w:sz="0" w:space="0" w:color="auto"/>
          </w:divBdr>
          <w:divsChild>
            <w:div w:id="1340080370">
              <w:marLeft w:val="0"/>
              <w:marRight w:val="0"/>
              <w:marTop w:val="0"/>
              <w:marBottom w:val="0"/>
              <w:divBdr>
                <w:top w:val="none" w:sz="0" w:space="0" w:color="auto"/>
                <w:left w:val="none" w:sz="0" w:space="0" w:color="auto"/>
                <w:bottom w:val="none" w:sz="0" w:space="0" w:color="auto"/>
                <w:right w:val="none" w:sz="0" w:space="0" w:color="auto"/>
              </w:divBdr>
              <w:divsChild>
                <w:div w:id="1597978683">
                  <w:marLeft w:val="0"/>
                  <w:marRight w:val="0"/>
                  <w:marTop w:val="0"/>
                  <w:marBottom w:val="0"/>
                  <w:divBdr>
                    <w:top w:val="none" w:sz="0" w:space="0" w:color="auto"/>
                    <w:left w:val="none" w:sz="0" w:space="0" w:color="auto"/>
                    <w:bottom w:val="none" w:sz="0" w:space="0" w:color="auto"/>
                    <w:right w:val="none" w:sz="0" w:space="0" w:color="auto"/>
                  </w:divBdr>
                  <w:divsChild>
                    <w:div w:id="146014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77015">
          <w:marLeft w:val="0"/>
          <w:marRight w:val="0"/>
          <w:marTop w:val="0"/>
          <w:marBottom w:val="0"/>
          <w:divBdr>
            <w:top w:val="none" w:sz="0" w:space="0" w:color="auto"/>
            <w:left w:val="none" w:sz="0" w:space="0" w:color="auto"/>
            <w:bottom w:val="none" w:sz="0" w:space="0" w:color="auto"/>
            <w:right w:val="none" w:sz="0" w:space="0" w:color="auto"/>
          </w:divBdr>
          <w:divsChild>
            <w:div w:id="906113661">
              <w:marLeft w:val="0"/>
              <w:marRight w:val="0"/>
              <w:marTop w:val="0"/>
              <w:marBottom w:val="0"/>
              <w:divBdr>
                <w:top w:val="none" w:sz="0" w:space="0" w:color="auto"/>
                <w:left w:val="none" w:sz="0" w:space="0" w:color="auto"/>
                <w:bottom w:val="none" w:sz="0" w:space="0" w:color="auto"/>
                <w:right w:val="none" w:sz="0" w:space="0" w:color="auto"/>
              </w:divBdr>
              <w:divsChild>
                <w:div w:id="496575065">
                  <w:marLeft w:val="0"/>
                  <w:marRight w:val="0"/>
                  <w:marTop w:val="0"/>
                  <w:marBottom w:val="0"/>
                  <w:divBdr>
                    <w:top w:val="none" w:sz="0" w:space="0" w:color="auto"/>
                    <w:left w:val="none" w:sz="0" w:space="0" w:color="auto"/>
                    <w:bottom w:val="none" w:sz="0" w:space="0" w:color="auto"/>
                    <w:right w:val="none" w:sz="0" w:space="0" w:color="auto"/>
                  </w:divBdr>
                </w:div>
              </w:divsChild>
            </w:div>
            <w:div w:id="18318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3422">
      <w:bodyDiv w:val="1"/>
      <w:marLeft w:val="0"/>
      <w:marRight w:val="0"/>
      <w:marTop w:val="0"/>
      <w:marBottom w:val="0"/>
      <w:divBdr>
        <w:top w:val="none" w:sz="0" w:space="0" w:color="auto"/>
        <w:left w:val="none" w:sz="0" w:space="0" w:color="auto"/>
        <w:bottom w:val="none" w:sz="0" w:space="0" w:color="auto"/>
        <w:right w:val="none" w:sz="0" w:space="0" w:color="auto"/>
      </w:divBdr>
    </w:div>
    <w:div w:id="1084301294">
      <w:bodyDiv w:val="1"/>
      <w:marLeft w:val="0"/>
      <w:marRight w:val="0"/>
      <w:marTop w:val="0"/>
      <w:marBottom w:val="0"/>
      <w:divBdr>
        <w:top w:val="none" w:sz="0" w:space="0" w:color="auto"/>
        <w:left w:val="none" w:sz="0" w:space="0" w:color="auto"/>
        <w:bottom w:val="none" w:sz="0" w:space="0" w:color="auto"/>
        <w:right w:val="none" w:sz="0" w:space="0" w:color="auto"/>
      </w:divBdr>
    </w:div>
    <w:div w:id="1091321129">
      <w:bodyDiv w:val="1"/>
      <w:marLeft w:val="0"/>
      <w:marRight w:val="0"/>
      <w:marTop w:val="0"/>
      <w:marBottom w:val="0"/>
      <w:divBdr>
        <w:top w:val="none" w:sz="0" w:space="0" w:color="auto"/>
        <w:left w:val="none" w:sz="0" w:space="0" w:color="auto"/>
        <w:bottom w:val="none" w:sz="0" w:space="0" w:color="auto"/>
        <w:right w:val="none" w:sz="0" w:space="0" w:color="auto"/>
      </w:divBdr>
    </w:div>
    <w:div w:id="1092823641">
      <w:bodyDiv w:val="1"/>
      <w:marLeft w:val="0"/>
      <w:marRight w:val="0"/>
      <w:marTop w:val="0"/>
      <w:marBottom w:val="0"/>
      <w:divBdr>
        <w:top w:val="none" w:sz="0" w:space="0" w:color="auto"/>
        <w:left w:val="none" w:sz="0" w:space="0" w:color="auto"/>
        <w:bottom w:val="none" w:sz="0" w:space="0" w:color="auto"/>
        <w:right w:val="none" w:sz="0" w:space="0" w:color="auto"/>
      </w:divBdr>
    </w:div>
    <w:div w:id="1094280170">
      <w:bodyDiv w:val="1"/>
      <w:marLeft w:val="0"/>
      <w:marRight w:val="0"/>
      <w:marTop w:val="0"/>
      <w:marBottom w:val="0"/>
      <w:divBdr>
        <w:top w:val="none" w:sz="0" w:space="0" w:color="auto"/>
        <w:left w:val="none" w:sz="0" w:space="0" w:color="auto"/>
        <w:bottom w:val="none" w:sz="0" w:space="0" w:color="auto"/>
        <w:right w:val="none" w:sz="0" w:space="0" w:color="auto"/>
      </w:divBdr>
    </w:div>
    <w:div w:id="1098328931">
      <w:bodyDiv w:val="1"/>
      <w:marLeft w:val="0"/>
      <w:marRight w:val="0"/>
      <w:marTop w:val="0"/>
      <w:marBottom w:val="0"/>
      <w:divBdr>
        <w:top w:val="none" w:sz="0" w:space="0" w:color="auto"/>
        <w:left w:val="none" w:sz="0" w:space="0" w:color="auto"/>
        <w:bottom w:val="none" w:sz="0" w:space="0" w:color="auto"/>
        <w:right w:val="none" w:sz="0" w:space="0" w:color="auto"/>
      </w:divBdr>
      <w:divsChild>
        <w:div w:id="608700663">
          <w:marLeft w:val="0"/>
          <w:marRight w:val="0"/>
          <w:marTop w:val="0"/>
          <w:marBottom w:val="0"/>
          <w:divBdr>
            <w:top w:val="none" w:sz="0" w:space="0" w:color="auto"/>
            <w:left w:val="none" w:sz="0" w:space="0" w:color="auto"/>
            <w:bottom w:val="none" w:sz="0" w:space="0" w:color="auto"/>
            <w:right w:val="none" w:sz="0" w:space="0" w:color="auto"/>
          </w:divBdr>
          <w:divsChild>
            <w:div w:id="85925595">
              <w:marLeft w:val="0"/>
              <w:marRight w:val="0"/>
              <w:marTop w:val="0"/>
              <w:marBottom w:val="0"/>
              <w:divBdr>
                <w:top w:val="none" w:sz="0" w:space="0" w:color="auto"/>
                <w:left w:val="none" w:sz="0" w:space="0" w:color="auto"/>
                <w:bottom w:val="none" w:sz="0" w:space="0" w:color="auto"/>
                <w:right w:val="none" w:sz="0" w:space="0" w:color="auto"/>
              </w:divBdr>
              <w:divsChild>
                <w:div w:id="573589212">
                  <w:marLeft w:val="0"/>
                  <w:marRight w:val="0"/>
                  <w:marTop w:val="0"/>
                  <w:marBottom w:val="0"/>
                  <w:divBdr>
                    <w:top w:val="none" w:sz="0" w:space="0" w:color="auto"/>
                    <w:left w:val="none" w:sz="0" w:space="0" w:color="auto"/>
                    <w:bottom w:val="none" w:sz="0" w:space="0" w:color="auto"/>
                    <w:right w:val="none" w:sz="0" w:space="0" w:color="auto"/>
                  </w:divBdr>
                  <w:divsChild>
                    <w:div w:id="436869406">
                      <w:marLeft w:val="0"/>
                      <w:marRight w:val="0"/>
                      <w:marTop w:val="0"/>
                      <w:marBottom w:val="0"/>
                      <w:divBdr>
                        <w:top w:val="none" w:sz="0" w:space="0" w:color="auto"/>
                        <w:left w:val="none" w:sz="0" w:space="0" w:color="auto"/>
                        <w:bottom w:val="none" w:sz="0" w:space="0" w:color="auto"/>
                        <w:right w:val="none" w:sz="0" w:space="0" w:color="auto"/>
                      </w:divBdr>
                    </w:div>
                    <w:div w:id="115344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393">
              <w:marLeft w:val="0"/>
              <w:marRight w:val="0"/>
              <w:marTop w:val="0"/>
              <w:marBottom w:val="0"/>
              <w:divBdr>
                <w:top w:val="none" w:sz="0" w:space="0" w:color="auto"/>
                <w:left w:val="none" w:sz="0" w:space="0" w:color="auto"/>
                <w:bottom w:val="none" w:sz="0" w:space="0" w:color="auto"/>
                <w:right w:val="none" w:sz="0" w:space="0" w:color="auto"/>
              </w:divBdr>
              <w:divsChild>
                <w:div w:id="430205280">
                  <w:marLeft w:val="0"/>
                  <w:marRight w:val="0"/>
                  <w:marTop w:val="0"/>
                  <w:marBottom w:val="0"/>
                  <w:divBdr>
                    <w:top w:val="none" w:sz="0" w:space="0" w:color="auto"/>
                    <w:left w:val="none" w:sz="0" w:space="0" w:color="auto"/>
                    <w:bottom w:val="none" w:sz="0" w:space="0" w:color="auto"/>
                    <w:right w:val="none" w:sz="0" w:space="0" w:color="auto"/>
                  </w:divBdr>
                  <w:divsChild>
                    <w:div w:id="566648526">
                      <w:marLeft w:val="0"/>
                      <w:marRight w:val="0"/>
                      <w:marTop w:val="0"/>
                      <w:marBottom w:val="0"/>
                      <w:divBdr>
                        <w:top w:val="none" w:sz="0" w:space="0" w:color="auto"/>
                        <w:left w:val="none" w:sz="0" w:space="0" w:color="auto"/>
                        <w:bottom w:val="none" w:sz="0" w:space="0" w:color="auto"/>
                        <w:right w:val="none" w:sz="0" w:space="0" w:color="auto"/>
                      </w:divBdr>
                    </w:div>
                    <w:div w:id="130326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244566">
          <w:marLeft w:val="0"/>
          <w:marRight w:val="0"/>
          <w:marTop w:val="0"/>
          <w:marBottom w:val="0"/>
          <w:divBdr>
            <w:top w:val="none" w:sz="0" w:space="0" w:color="auto"/>
            <w:left w:val="none" w:sz="0" w:space="0" w:color="auto"/>
            <w:bottom w:val="none" w:sz="0" w:space="0" w:color="auto"/>
            <w:right w:val="none" w:sz="0" w:space="0" w:color="auto"/>
          </w:divBdr>
          <w:divsChild>
            <w:div w:id="19987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660619">
      <w:bodyDiv w:val="1"/>
      <w:marLeft w:val="0"/>
      <w:marRight w:val="0"/>
      <w:marTop w:val="0"/>
      <w:marBottom w:val="0"/>
      <w:divBdr>
        <w:top w:val="none" w:sz="0" w:space="0" w:color="auto"/>
        <w:left w:val="none" w:sz="0" w:space="0" w:color="auto"/>
        <w:bottom w:val="none" w:sz="0" w:space="0" w:color="auto"/>
        <w:right w:val="none" w:sz="0" w:space="0" w:color="auto"/>
      </w:divBdr>
    </w:div>
    <w:div w:id="1111559394">
      <w:bodyDiv w:val="1"/>
      <w:marLeft w:val="0"/>
      <w:marRight w:val="0"/>
      <w:marTop w:val="0"/>
      <w:marBottom w:val="0"/>
      <w:divBdr>
        <w:top w:val="none" w:sz="0" w:space="0" w:color="auto"/>
        <w:left w:val="none" w:sz="0" w:space="0" w:color="auto"/>
        <w:bottom w:val="none" w:sz="0" w:space="0" w:color="auto"/>
        <w:right w:val="none" w:sz="0" w:space="0" w:color="auto"/>
      </w:divBdr>
    </w:div>
    <w:div w:id="1113598888">
      <w:bodyDiv w:val="1"/>
      <w:marLeft w:val="0"/>
      <w:marRight w:val="0"/>
      <w:marTop w:val="0"/>
      <w:marBottom w:val="0"/>
      <w:divBdr>
        <w:top w:val="none" w:sz="0" w:space="0" w:color="auto"/>
        <w:left w:val="none" w:sz="0" w:space="0" w:color="auto"/>
        <w:bottom w:val="none" w:sz="0" w:space="0" w:color="auto"/>
        <w:right w:val="none" w:sz="0" w:space="0" w:color="auto"/>
      </w:divBdr>
    </w:div>
    <w:div w:id="1116214308">
      <w:bodyDiv w:val="1"/>
      <w:marLeft w:val="0"/>
      <w:marRight w:val="0"/>
      <w:marTop w:val="0"/>
      <w:marBottom w:val="0"/>
      <w:divBdr>
        <w:top w:val="none" w:sz="0" w:space="0" w:color="auto"/>
        <w:left w:val="none" w:sz="0" w:space="0" w:color="auto"/>
        <w:bottom w:val="none" w:sz="0" w:space="0" w:color="auto"/>
        <w:right w:val="none" w:sz="0" w:space="0" w:color="auto"/>
      </w:divBdr>
    </w:div>
    <w:div w:id="1116486553">
      <w:bodyDiv w:val="1"/>
      <w:marLeft w:val="0"/>
      <w:marRight w:val="0"/>
      <w:marTop w:val="0"/>
      <w:marBottom w:val="0"/>
      <w:divBdr>
        <w:top w:val="none" w:sz="0" w:space="0" w:color="auto"/>
        <w:left w:val="none" w:sz="0" w:space="0" w:color="auto"/>
        <w:bottom w:val="none" w:sz="0" w:space="0" w:color="auto"/>
        <w:right w:val="none" w:sz="0" w:space="0" w:color="auto"/>
      </w:divBdr>
      <w:divsChild>
        <w:div w:id="565460968">
          <w:marLeft w:val="0"/>
          <w:marRight w:val="0"/>
          <w:marTop w:val="0"/>
          <w:marBottom w:val="0"/>
          <w:divBdr>
            <w:top w:val="none" w:sz="0" w:space="0" w:color="auto"/>
            <w:left w:val="none" w:sz="0" w:space="0" w:color="auto"/>
            <w:bottom w:val="none" w:sz="0" w:space="0" w:color="auto"/>
            <w:right w:val="none" w:sz="0" w:space="0" w:color="auto"/>
          </w:divBdr>
          <w:divsChild>
            <w:div w:id="871190787">
              <w:marLeft w:val="0"/>
              <w:marRight w:val="0"/>
              <w:marTop w:val="0"/>
              <w:marBottom w:val="0"/>
              <w:divBdr>
                <w:top w:val="none" w:sz="0" w:space="0" w:color="auto"/>
                <w:left w:val="none" w:sz="0" w:space="0" w:color="auto"/>
                <w:bottom w:val="none" w:sz="0" w:space="0" w:color="auto"/>
                <w:right w:val="none" w:sz="0" w:space="0" w:color="auto"/>
              </w:divBdr>
            </w:div>
            <w:div w:id="1165973955">
              <w:marLeft w:val="0"/>
              <w:marRight w:val="0"/>
              <w:marTop w:val="0"/>
              <w:marBottom w:val="0"/>
              <w:divBdr>
                <w:top w:val="none" w:sz="0" w:space="0" w:color="auto"/>
                <w:left w:val="none" w:sz="0" w:space="0" w:color="auto"/>
                <w:bottom w:val="none" w:sz="0" w:space="0" w:color="auto"/>
                <w:right w:val="none" w:sz="0" w:space="0" w:color="auto"/>
              </w:divBdr>
              <w:divsChild>
                <w:div w:id="211158058">
                  <w:marLeft w:val="0"/>
                  <w:marRight w:val="0"/>
                  <w:marTop w:val="0"/>
                  <w:marBottom w:val="0"/>
                  <w:divBdr>
                    <w:top w:val="none" w:sz="0" w:space="0" w:color="auto"/>
                    <w:left w:val="none" w:sz="0" w:space="0" w:color="auto"/>
                    <w:bottom w:val="none" w:sz="0" w:space="0" w:color="auto"/>
                    <w:right w:val="none" w:sz="0" w:space="0" w:color="auto"/>
                  </w:divBdr>
                </w:div>
              </w:divsChild>
            </w:div>
            <w:div w:id="1177575682">
              <w:marLeft w:val="0"/>
              <w:marRight w:val="0"/>
              <w:marTop w:val="0"/>
              <w:marBottom w:val="0"/>
              <w:divBdr>
                <w:top w:val="none" w:sz="0" w:space="0" w:color="auto"/>
                <w:left w:val="none" w:sz="0" w:space="0" w:color="auto"/>
                <w:bottom w:val="none" w:sz="0" w:space="0" w:color="auto"/>
                <w:right w:val="none" w:sz="0" w:space="0" w:color="auto"/>
              </w:divBdr>
              <w:divsChild>
                <w:div w:id="1340042953">
                  <w:marLeft w:val="0"/>
                  <w:marRight w:val="0"/>
                  <w:marTop w:val="0"/>
                  <w:marBottom w:val="0"/>
                  <w:divBdr>
                    <w:top w:val="none" w:sz="0" w:space="0" w:color="auto"/>
                    <w:left w:val="none" w:sz="0" w:space="0" w:color="auto"/>
                    <w:bottom w:val="none" w:sz="0" w:space="0" w:color="auto"/>
                    <w:right w:val="none" w:sz="0" w:space="0" w:color="auto"/>
                  </w:divBdr>
                  <w:divsChild>
                    <w:div w:id="621956942">
                      <w:marLeft w:val="0"/>
                      <w:marRight w:val="0"/>
                      <w:marTop w:val="0"/>
                      <w:marBottom w:val="0"/>
                      <w:divBdr>
                        <w:top w:val="none" w:sz="0" w:space="0" w:color="auto"/>
                        <w:left w:val="none" w:sz="0" w:space="0" w:color="auto"/>
                        <w:bottom w:val="none" w:sz="0" w:space="0" w:color="auto"/>
                        <w:right w:val="none" w:sz="0" w:space="0" w:color="auto"/>
                      </w:divBdr>
                    </w:div>
                    <w:div w:id="619920694">
                      <w:marLeft w:val="0"/>
                      <w:marRight w:val="0"/>
                      <w:marTop w:val="0"/>
                      <w:marBottom w:val="0"/>
                      <w:divBdr>
                        <w:top w:val="none" w:sz="0" w:space="0" w:color="auto"/>
                        <w:left w:val="none" w:sz="0" w:space="0" w:color="auto"/>
                        <w:bottom w:val="none" w:sz="0" w:space="0" w:color="auto"/>
                        <w:right w:val="none" w:sz="0" w:space="0" w:color="auto"/>
                      </w:divBdr>
                      <w:divsChild>
                        <w:div w:id="30062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768323">
      <w:bodyDiv w:val="1"/>
      <w:marLeft w:val="0"/>
      <w:marRight w:val="0"/>
      <w:marTop w:val="0"/>
      <w:marBottom w:val="0"/>
      <w:divBdr>
        <w:top w:val="none" w:sz="0" w:space="0" w:color="auto"/>
        <w:left w:val="none" w:sz="0" w:space="0" w:color="auto"/>
        <w:bottom w:val="none" w:sz="0" w:space="0" w:color="auto"/>
        <w:right w:val="none" w:sz="0" w:space="0" w:color="auto"/>
      </w:divBdr>
      <w:divsChild>
        <w:div w:id="127624307">
          <w:marLeft w:val="0"/>
          <w:marRight w:val="0"/>
          <w:marTop w:val="0"/>
          <w:marBottom w:val="0"/>
          <w:divBdr>
            <w:top w:val="none" w:sz="0" w:space="0" w:color="auto"/>
            <w:left w:val="none" w:sz="0" w:space="0" w:color="auto"/>
            <w:bottom w:val="none" w:sz="0" w:space="0" w:color="auto"/>
            <w:right w:val="none" w:sz="0" w:space="0" w:color="auto"/>
          </w:divBdr>
          <w:divsChild>
            <w:div w:id="166698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55143">
      <w:bodyDiv w:val="1"/>
      <w:marLeft w:val="0"/>
      <w:marRight w:val="0"/>
      <w:marTop w:val="0"/>
      <w:marBottom w:val="0"/>
      <w:divBdr>
        <w:top w:val="none" w:sz="0" w:space="0" w:color="auto"/>
        <w:left w:val="none" w:sz="0" w:space="0" w:color="auto"/>
        <w:bottom w:val="none" w:sz="0" w:space="0" w:color="auto"/>
        <w:right w:val="none" w:sz="0" w:space="0" w:color="auto"/>
      </w:divBdr>
    </w:div>
    <w:div w:id="1132671692">
      <w:bodyDiv w:val="1"/>
      <w:marLeft w:val="0"/>
      <w:marRight w:val="0"/>
      <w:marTop w:val="0"/>
      <w:marBottom w:val="0"/>
      <w:divBdr>
        <w:top w:val="none" w:sz="0" w:space="0" w:color="auto"/>
        <w:left w:val="none" w:sz="0" w:space="0" w:color="auto"/>
        <w:bottom w:val="none" w:sz="0" w:space="0" w:color="auto"/>
        <w:right w:val="none" w:sz="0" w:space="0" w:color="auto"/>
      </w:divBdr>
    </w:div>
    <w:div w:id="1143083764">
      <w:bodyDiv w:val="1"/>
      <w:marLeft w:val="0"/>
      <w:marRight w:val="0"/>
      <w:marTop w:val="0"/>
      <w:marBottom w:val="0"/>
      <w:divBdr>
        <w:top w:val="none" w:sz="0" w:space="0" w:color="auto"/>
        <w:left w:val="none" w:sz="0" w:space="0" w:color="auto"/>
        <w:bottom w:val="none" w:sz="0" w:space="0" w:color="auto"/>
        <w:right w:val="none" w:sz="0" w:space="0" w:color="auto"/>
      </w:divBdr>
    </w:div>
    <w:div w:id="1147405697">
      <w:bodyDiv w:val="1"/>
      <w:marLeft w:val="0"/>
      <w:marRight w:val="0"/>
      <w:marTop w:val="0"/>
      <w:marBottom w:val="0"/>
      <w:divBdr>
        <w:top w:val="none" w:sz="0" w:space="0" w:color="auto"/>
        <w:left w:val="none" w:sz="0" w:space="0" w:color="auto"/>
        <w:bottom w:val="none" w:sz="0" w:space="0" w:color="auto"/>
        <w:right w:val="none" w:sz="0" w:space="0" w:color="auto"/>
      </w:divBdr>
    </w:div>
    <w:div w:id="1147939811">
      <w:bodyDiv w:val="1"/>
      <w:marLeft w:val="0"/>
      <w:marRight w:val="0"/>
      <w:marTop w:val="0"/>
      <w:marBottom w:val="0"/>
      <w:divBdr>
        <w:top w:val="none" w:sz="0" w:space="0" w:color="auto"/>
        <w:left w:val="none" w:sz="0" w:space="0" w:color="auto"/>
        <w:bottom w:val="none" w:sz="0" w:space="0" w:color="auto"/>
        <w:right w:val="none" w:sz="0" w:space="0" w:color="auto"/>
      </w:divBdr>
      <w:divsChild>
        <w:div w:id="588732317">
          <w:marLeft w:val="0"/>
          <w:marRight w:val="0"/>
          <w:marTop w:val="0"/>
          <w:marBottom w:val="0"/>
          <w:divBdr>
            <w:top w:val="none" w:sz="0" w:space="0" w:color="auto"/>
            <w:left w:val="none" w:sz="0" w:space="0" w:color="auto"/>
            <w:bottom w:val="none" w:sz="0" w:space="0" w:color="auto"/>
            <w:right w:val="none" w:sz="0" w:space="0" w:color="auto"/>
          </w:divBdr>
          <w:divsChild>
            <w:div w:id="1668287156">
              <w:marLeft w:val="0"/>
              <w:marRight w:val="0"/>
              <w:marTop w:val="0"/>
              <w:marBottom w:val="0"/>
              <w:divBdr>
                <w:top w:val="none" w:sz="0" w:space="0" w:color="auto"/>
                <w:left w:val="none" w:sz="0" w:space="0" w:color="auto"/>
                <w:bottom w:val="none" w:sz="0" w:space="0" w:color="auto"/>
                <w:right w:val="none" w:sz="0" w:space="0" w:color="auto"/>
              </w:divBdr>
              <w:divsChild>
                <w:div w:id="41489202">
                  <w:marLeft w:val="0"/>
                  <w:marRight w:val="0"/>
                  <w:marTop w:val="0"/>
                  <w:marBottom w:val="0"/>
                  <w:divBdr>
                    <w:top w:val="none" w:sz="0" w:space="0" w:color="auto"/>
                    <w:left w:val="none" w:sz="0" w:space="0" w:color="auto"/>
                    <w:bottom w:val="none" w:sz="0" w:space="0" w:color="auto"/>
                    <w:right w:val="none" w:sz="0" w:space="0" w:color="auto"/>
                  </w:divBdr>
                  <w:divsChild>
                    <w:div w:id="281108940">
                      <w:marLeft w:val="0"/>
                      <w:marRight w:val="0"/>
                      <w:marTop w:val="0"/>
                      <w:marBottom w:val="0"/>
                      <w:divBdr>
                        <w:top w:val="none" w:sz="0" w:space="0" w:color="auto"/>
                        <w:left w:val="none" w:sz="0" w:space="0" w:color="auto"/>
                        <w:bottom w:val="none" w:sz="0" w:space="0" w:color="auto"/>
                        <w:right w:val="none" w:sz="0" w:space="0" w:color="auto"/>
                      </w:divBdr>
                      <w:divsChild>
                        <w:div w:id="1526404715">
                          <w:marLeft w:val="0"/>
                          <w:marRight w:val="0"/>
                          <w:marTop w:val="0"/>
                          <w:marBottom w:val="0"/>
                          <w:divBdr>
                            <w:top w:val="none" w:sz="0" w:space="0" w:color="auto"/>
                            <w:left w:val="none" w:sz="0" w:space="0" w:color="auto"/>
                            <w:bottom w:val="none" w:sz="0" w:space="0" w:color="auto"/>
                            <w:right w:val="none" w:sz="0" w:space="0" w:color="auto"/>
                          </w:divBdr>
                          <w:divsChild>
                            <w:div w:id="1977298936">
                              <w:marLeft w:val="0"/>
                              <w:marRight w:val="0"/>
                              <w:marTop w:val="0"/>
                              <w:marBottom w:val="0"/>
                              <w:divBdr>
                                <w:top w:val="none" w:sz="0" w:space="0" w:color="auto"/>
                                <w:left w:val="none" w:sz="0" w:space="0" w:color="auto"/>
                                <w:bottom w:val="none" w:sz="0" w:space="0" w:color="auto"/>
                                <w:right w:val="none" w:sz="0" w:space="0" w:color="auto"/>
                              </w:divBdr>
                              <w:divsChild>
                                <w:div w:id="1176456711">
                                  <w:marLeft w:val="0"/>
                                  <w:marRight w:val="0"/>
                                  <w:marTop w:val="0"/>
                                  <w:marBottom w:val="0"/>
                                  <w:divBdr>
                                    <w:top w:val="none" w:sz="0" w:space="0" w:color="auto"/>
                                    <w:left w:val="none" w:sz="0" w:space="0" w:color="auto"/>
                                    <w:bottom w:val="none" w:sz="0" w:space="0" w:color="auto"/>
                                    <w:right w:val="none" w:sz="0" w:space="0" w:color="auto"/>
                                  </w:divBdr>
                                  <w:divsChild>
                                    <w:div w:id="1962153831">
                                      <w:marLeft w:val="0"/>
                                      <w:marRight w:val="0"/>
                                      <w:marTop w:val="0"/>
                                      <w:marBottom w:val="0"/>
                                      <w:divBdr>
                                        <w:top w:val="none" w:sz="0" w:space="0" w:color="auto"/>
                                        <w:left w:val="none" w:sz="0" w:space="0" w:color="auto"/>
                                        <w:bottom w:val="none" w:sz="0" w:space="0" w:color="auto"/>
                                        <w:right w:val="none" w:sz="0" w:space="0" w:color="auto"/>
                                      </w:divBdr>
                                      <w:divsChild>
                                        <w:div w:id="947346004">
                                          <w:marLeft w:val="0"/>
                                          <w:marRight w:val="0"/>
                                          <w:marTop w:val="0"/>
                                          <w:marBottom w:val="0"/>
                                          <w:divBdr>
                                            <w:top w:val="none" w:sz="0" w:space="0" w:color="auto"/>
                                            <w:left w:val="none" w:sz="0" w:space="0" w:color="auto"/>
                                            <w:bottom w:val="none" w:sz="0" w:space="0" w:color="auto"/>
                                            <w:right w:val="none" w:sz="0" w:space="0" w:color="auto"/>
                                          </w:divBdr>
                                        </w:div>
                                        <w:div w:id="1064379237">
                                          <w:marLeft w:val="0"/>
                                          <w:marRight w:val="0"/>
                                          <w:marTop w:val="0"/>
                                          <w:marBottom w:val="0"/>
                                          <w:divBdr>
                                            <w:top w:val="none" w:sz="0" w:space="0" w:color="auto"/>
                                            <w:left w:val="none" w:sz="0" w:space="0" w:color="auto"/>
                                            <w:bottom w:val="none" w:sz="0" w:space="0" w:color="auto"/>
                                            <w:right w:val="none" w:sz="0" w:space="0" w:color="auto"/>
                                          </w:divBdr>
                                          <w:divsChild>
                                            <w:div w:id="1953129711">
                                              <w:marLeft w:val="0"/>
                                              <w:marRight w:val="0"/>
                                              <w:marTop w:val="0"/>
                                              <w:marBottom w:val="0"/>
                                              <w:divBdr>
                                                <w:top w:val="none" w:sz="0" w:space="0" w:color="auto"/>
                                                <w:left w:val="none" w:sz="0" w:space="0" w:color="auto"/>
                                                <w:bottom w:val="none" w:sz="0" w:space="0" w:color="auto"/>
                                                <w:right w:val="none" w:sz="0" w:space="0" w:color="auto"/>
                                              </w:divBdr>
                                            </w:div>
                                          </w:divsChild>
                                        </w:div>
                                        <w:div w:id="1890217236">
                                          <w:marLeft w:val="0"/>
                                          <w:marRight w:val="0"/>
                                          <w:marTop w:val="0"/>
                                          <w:marBottom w:val="0"/>
                                          <w:divBdr>
                                            <w:top w:val="none" w:sz="0" w:space="0" w:color="auto"/>
                                            <w:left w:val="none" w:sz="0" w:space="0" w:color="auto"/>
                                            <w:bottom w:val="none" w:sz="0" w:space="0" w:color="auto"/>
                                            <w:right w:val="none" w:sz="0" w:space="0" w:color="auto"/>
                                          </w:divBdr>
                                        </w:div>
                                        <w:div w:id="20765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216929">
                      <w:marLeft w:val="0"/>
                      <w:marRight w:val="0"/>
                      <w:marTop w:val="0"/>
                      <w:marBottom w:val="0"/>
                      <w:divBdr>
                        <w:top w:val="none" w:sz="0" w:space="0" w:color="auto"/>
                        <w:left w:val="none" w:sz="0" w:space="0" w:color="auto"/>
                        <w:bottom w:val="none" w:sz="0" w:space="0" w:color="auto"/>
                        <w:right w:val="none" w:sz="0" w:space="0" w:color="auto"/>
                      </w:divBdr>
                      <w:divsChild>
                        <w:div w:id="28365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80053">
              <w:marLeft w:val="0"/>
              <w:marRight w:val="0"/>
              <w:marTop w:val="0"/>
              <w:marBottom w:val="0"/>
              <w:divBdr>
                <w:top w:val="none" w:sz="0" w:space="0" w:color="auto"/>
                <w:left w:val="none" w:sz="0" w:space="0" w:color="auto"/>
                <w:bottom w:val="none" w:sz="0" w:space="0" w:color="auto"/>
                <w:right w:val="none" w:sz="0" w:space="0" w:color="auto"/>
              </w:divBdr>
              <w:divsChild>
                <w:div w:id="2271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0477">
          <w:marLeft w:val="0"/>
          <w:marRight w:val="0"/>
          <w:marTop w:val="0"/>
          <w:marBottom w:val="0"/>
          <w:divBdr>
            <w:top w:val="none" w:sz="0" w:space="0" w:color="auto"/>
            <w:left w:val="none" w:sz="0" w:space="0" w:color="auto"/>
            <w:bottom w:val="none" w:sz="0" w:space="0" w:color="auto"/>
            <w:right w:val="none" w:sz="0" w:space="0" w:color="auto"/>
          </w:divBdr>
        </w:div>
      </w:divsChild>
    </w:div>
    <w:div w:id="1159544279">
      <w:bodyDiv w:val="1"/>
      <w:marLeft w:val="0"/>
      <w:marRight w:val="0"/>
      <w:marTop w:val="0"/>
      <w:marBottom w:val="0"/>
      <w:divBdr>
        <w:top w:val="none" w:sz="0" w:space="0" w:color="auto"/>
        <w:left w:val="none" w:sz="0" w:space="0" w:color="auto"/>
        <w:bottom w:val="none" w:sz="0" w:space="0" w:color="auto"/>
        <w:right w:val="none" w:sz="0" w:space="0" w:color="auto"/>
      </w:divBdr>
    </w:div>
    <w:div w:id="1159812011">
      <w:bodyDiv w:val="1"/>
      <w:marLeft w:val="0"/>
      <w:marRight w:val="0"/>
      <w:marTop w:val="0"/>
      <w:marBottom w:val="0"/>
      <w:divBdr>
        <w:top w:val="none" w:sz="0" w:space="0" w:color="auto"/>
        <w:left w:val="none" w:sz="0" w:space="0" w:color="auto"/>
        <w:bottom w:val="none" w:sz="0" w:space="0" w:color="auto"/>
        <w:right w:val="none" w:sz="0" w:space="0" w:color="auto"/>
      </w:divBdr>
    </w:div>
    <w:div w:id="1161460921">
      <w:bodyDiv w:val="1"/>
      <w:marLeft w:val="0"/>
      <w:marRight w:val="0"/>
      <w:marTop w:val="0"/>
      <w:marBottom w:val="0"/>
      <w:divBdr>
        <w:top w:val="none" w:sz="0" w:space="0" w:color="auto"/>
        <w:left w:val="none" w:sz="0" w:space="0" w:color="auto"/>
        <w:bottom w:val="none" w:sz="0" w:space="0" w:color="auto"/>
        <w:right w:val="none" w:sz="0" w:space="0" w:color="auto"/>
      </w:divBdr>
    </w:div>
    <w:div w:id="1163591720">
      <w:bodyDiv w:val="1"/>
      <w:marLeft w:val="0"/>
      <w:marRight w:val="0"/>
      <w:marTop w:val="0"/>
      <w:marBottom w:val="0"/>
      <w:divBdr>
        <w:top w:val="none" w:sz="0" w:space="0" w:color="auto"/>
        <w:left w:val="none" w:sz="0" w:space="0" w:color="auto"/>
        <w:bottom w:val="none" w:sz="0" w:space="0" w:color="auto"/>
        <w:right w:val="none" w:sz="0" w:space="0" w:color="auto"/>
      </w:divBdr>
    </w:div>
    <w:div w:id="1164587814">
      <w:bodyDiv w:val="1"/>
      <w:marLeft w:val="0"/>
      <w:marRight w:val="0"/>
      <w:marTop w:val="0"/>
      <w:marBottom w:val="0"/>
      <w:divBdr>
        <w:top w:val="none" w:sz="0" w:space="0" w:color="auto"/>
        <w:left w:val="none" w:sz="0" w:space="0" w:color="auto"/>
        <w:bottom w:val="none" w:sz="0" w:space="0" w:color="auto"/>
        <w:right w:val="none" w:sz="0" w:space="0" w:color="auto"/>
      </w:divBdr>
      <w:divsChild>
        <w:div w:id="1409231793">
          <w:marLeft w:val="0"/>
          <w:marRight w:val="0"/>
          <w:marTop w:val="0"/>
          <w:marBottom w:val="0"/>
          <w:divBdr>
            <w:top w:val="none" w:sz="0" w:space="0" w:color="auto"/>
            <w:left w:val="none" w:sz="0" w:space="0" w:color="auto"/>
            <w:bottom w:val="none" w:sz="0" w:space="0" w:color="auto"/>
            <w:right w:val="none" w:sz="0" w:space="0" w:color="auto"/>
          </w:divBdr>
        </w:div>
        <w:div w:id="1840266720">
          <w:marLeft w:val="0"/>
          <w:marRight w:val="0"/>
          <w:marTop w:val="0"/>
          <w:marBottom w:val="0"/>
          <w:divBdr>
            <w:top w:val="none" w:sz="0" w:space="0" w:color="auto"/>
            <w:left w:val="none" w:sz="0" w:space="0" w:color="auto"/>
            <w:bottom w:val="none" w:sz="0" w:space="0" w:color="auto"/>
            <w:right w:val="none" w:sz="0" w:space="0" w:color="auto"/>
          </w:divBdr>
          <w:divsChild>
            <w:div w:id="139122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1877">
      <w:bodyDiv w:val="1"/>
      <w:marLeft w:val="0"/>
      <w:marRight w:val="0"/>
      <w:marTop w:val="0"/>
      <w:marBottom w:val="0"/>
      <w:divBdr>
        <w:top w:val="none" w:sz="0" w:space="0" w:color="auto"/>
        <w:left w:val="none" w:sz="0" w:space="0" w:color="auto"/>
        <w:bottom w:val="none" w:sz="0" w:space="0" w:color="auto"/>
        <w:right w:val="none" w:sz="0" w:space="0" w:color="auto"/>
      </w:divBdr>
    </w:div>
    <w:div w:id="1167936436">
      <w:bodyDiv w:val="1"/>
      <w:marLeft w:val="0"/>
      <w:marRight w:val="0"/>
      <w:marTop w:val="0"/>
      <w:marBottom w:val="0"/>
      <w:divBdr>
        <w:top w:val="none" w:sz="0" w:space="0" w:color="auto"/>
        <w:left w:val="none" w:sz="0" w:space="0" w:color="auto"/>
        <w:bottom w:val="none" w:sz="0" w:space="0" w:color="auto"/>
        <w:right w:val="none" w:sz="0" w:space="0" w:color="auto"/>
      </w:divBdr>
    </w:div>
    <w:div w:id="1174686532">
      <w:bodyDiv w:val="1"/>
      <w:marLeft w:val="0"/>
      <w:marRight w:val="0"/>
      <w:marTop w:val="0"/>
      <w:marBottom w:val="0"/>
      <w:divBdr>
        <w:top w:val="none" w:sz="0" w:space="0" w:color="auto"/>
        <w:left w:val="none" w:sz="0" w:space="0" w:color="auto"/>
        <w:bottom w:val="none" w:sz="0" w:space="0" w:color="auto"/>
        <w:right w:val="none" w:sz="0" w:space="0" w:color="auto"/>
      </w:divBdr>
    </w:div>
    <w:div w:id="1175536568">
      <w:bodyDiv w:val="1"/>
      <w:marLeft w:val="0"/>
      <w:marRight w:val="0"/>
      <w:marTop w:val="0"/>
      <w:marBottom w:val="0"/>
      <w:divBdr>
        <w:top w:val="none" w:sz="0" w:space="0" w:color="auto"/>
        <w:left w:val="none" w:sz="0" w:space="0" w:color="auto"/>
        <w:bottom w:val="none" w:sz="0" w:space="0" w:color="auto"/>
        <w:right w:val="none" w:sz="0" w:space="0" w:color="auto"/>
      </w:divBdr>
      <w:divsChild>
        <w:div w:id="506941237">
          <w:marLeft w:val="0"/>
          <w:marRight w:val="0"/>
          <w:marTop w:val="0"/>
          <w:marBottom w:val="0"/>
          <w:divBdr>
            <w:top w:val="none" w:sz="0" w:space="0" w:color="auto"/>
            <w:left w:val="none" w:sz="0" w:space="0" w:color="auto"/>
            <w:bottom w:val="none" w:sz="0" w:space="0" w:color="auto"/>
            <w:right w:val="none" w:sz="0" w:space="0" w:color="auto"/>
          </w:divBdr>
          <w:divsChild>
            <w:div w:id="1370564428">
              <w:marLeft w:val="0"/>
              <w:marRight w:val="0"/>
              <w:marTop w:val="0"/>
              <w:marBottom w:val="0"/>
              <w:divBdr>
                <w:top w:val="none" w:sz="0" w:space="0" w:color="auto"/>
                <w:left w:val="none" w:sz="0" w:space="0" w:color="auto"/>
                <w:bottom w:val="none" w:sz="0" w:space="0" w:color="auto"/>
                <w:right w:val="none" w:sz="0" w:space="0" w:color="auto"/>
              </w:divBdr>
              <w:divsChild>
                <w:div w:id="1083843915">
                  <w:marLeft w:val="0"/>
                  <w:marRight w:val="0"/>
                  <w:marTop w:val="0"/>
                  <w:marBottom w:val="0"/>
                  <w:divBdr>
                    <w:top w:val="none" w:sz="0" w:space="0" w:color="auto"/>
                    <w:left w:val="none" w:sz="0" w:space="0" w:color="auto"/>
                    <w:bottom w:val="none" w:sz="0" w:space="0" w:color="auto"/>
                    <w:right w:val="none" w:sz="0" w:space="0" w:color="auto"/>
                  </w:divBdr>
                  <w:divsChild>
                    <w:div w:id="680476738">
                      <w:marLeft w:val="0"/>
                      <w:marRight w:val="0"/>
                      <w:marTop w:val="0"/>
                      <w:marBottom w:val="0"/>
                      <w:divBdr>
                        <w:top w:val="none" w:sz="0" w:space="0" w:color="auto"/>
                        <w:left w:val="none" w:sz="0" w:space="0" w:color="auto"/>
                        <w:bottom w:val="none" w:sz="0" w:space="0" w:color="auto"/>
                        <w:right w:val="none" w:sz="0" w:space="0" w:color="auto"/>
                      </w:divBdr>
                      <w:divsChild>
                        <w:div w:id="8115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5375">
          <w:marLeft w:val="0"/>
          <w:marRight w:val="0"/>
          <w:marTop w:val="0"/>
          <w:marBottom w:val="0"/>
          <w:divBdr>
            <w:top w:val="none" w:sz="0" w:space="0" w:color="auto"/>
            <w:left w:val="none" w:sz="0" w:space="0" w:color="auto"/>
            <w:bottom w:val="none" w:sz="0" w:space="0" w:color="auto"/>
            <w:right w:val="none" w:sz="0" w:space="0" w:color="auto"/>
          </w:divBdr>
          <w:divsChild>
            <w:div w:id="135536830">
              <w:marLeft w:val="0"/>
              <w:marRight w:val="0"/>
              <w:marTop w:val="0"/>
              <w:marBottom w:val="0"/>
              <w:divBdr>
                <w:top w:val="none" w:sz="0" w:space="0" w:color="auto"/>
                <w:left w:val="none" w:sz="0" w:space="0" w:color="auto"/>
                <w:bottom w:val="none" w:sz="0" w:space="0" w:color="auto"/>
                <w:right w:val="none" w:sz="0" w:space="0" w:color="auto"/>
              </w:divBdr>
              <w:divsChild>
                <w:div w:id="1974019178">
                  <w:marLeft w:val="0"/>
                  <w:marRight w:val="0"/>
                  <w:marTop w:val="0"/>
                  <w:marBottom w:val="0"/>
                  <w:divBdr>
                    <w:top w:val="none" w:sz="0" w:space="0" w:color="auto"/>
                    <w:left w:val="none" w:sz="0" w:space="0" w:color="auto"/>
                    <w:bottom w:val="none" w:sz="0" w:space="0" w:color="auto"/>
                    <w:right w:val="none" w:sz="0" w:space="0" w:color="auto"/>
                  </w:divBdr>
                  <w:divsChild>
                    <w:div w:id="1474518689">
                      <w:marLeft w:val="0"/>
                      <w:marRight w:val="0"/>
                      <w:marTop w:val="0"/>
                      <w:marBottom w:val="0"/>
                      <w:divBdr>
                        <w:top w:val="none" w:sz="0" w:space="0" w:color="auto"/>
                        <w:left w:val="none" w:sz="0" w:space="0" w:color="auto"/>
                        <w:bottom w:val="none" w:sz="0" w:space="0" w:color="auto"/>
                        <w:right w:val="none" w:sz="0" w:space="0" w:color="auto"/>
                      </w:divBdr>
                      <w:divsChild>
                        <w:div w:id="126919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654418">
      <w:bodyDiv w:val="1"/>
      <w:marLeft w:val="0"/>
      <w:marRight w:val="0"/>
      <w:marTop w:val="0"/>
      <w:marBottom w:val="0"/>
      <w:divBdr>
        <w:top w:val="none" w:sz="0" w:space="0" w:color="auto"/>
        <w:left w:val="none" w:sz="0" w:space="0" w:color="auto"/>
        <w:bottom w:val="none" w:sz="0" w:space="0" w:color="auto"/>
        <w:right w:val="none" w:sz="0" w:space="0" w:color="auto"/>
      </w:divBdr>
    </w:div>
    <w:div w:id="1183209143">
      <w:bodyDiv w:val="1"/>
      <w:marLeft w:val="0"/>
      <w:marRight w:val="0"/>
      <w:marTop w:val="0"/>
      <w:marBottom w:val="0"/>
      <w:divBdr>
        <w:top w:val="none" w:sz="0" w:space="0" w:color="auto"/>
        <w:left w:val="none" w:sz="0" w:space="0" w:color="auto"/>
        <w:bottom w:val="none" w:sz="0" w:space="0" w:color="auto"/>
        <w:right w:val="none" w:sz="0" w:space="0" w:color="auto"/>
      </w:divBdr>
      <w:divsChild>
        <w:div w:id="350180937">
          <w:marLeft w:val="0"/>
          <w:marRight w:val="0"/>
          <w:marTop w:val="0"/>
          <w:marBottom w:val="0"/>
          <w:divBdr>
            <w:top w:val="none" w:sz="0" w:space="0" w:color="auto"/>
            <w:left w:val="none" w:sz="0" w:space="0" w:color="auto"/>
            <w:bottom w:val="none" w:sz="0" w:space="0" w:color="auto"/>
            <w:right w:val="none" w:sz="0" w:space="0" w:color="auto"/>
          </w:divBdr>
          <w:divsChild>
            <w:div w:id="14344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1661">
      <w:bodyDiv w:val="1"/>
      <w:marLeft w:val="0"/>
      <w:marRight w:val="0"/>
      <w:marTop w:val="0"/>
      <w:marBottom w:val="0"/>
      <w:divBdr>
        <w:top w:val="none" w:sz="0" w:space="0" w:color="auto"/>
        <w:left w:val="none" w:sz="0" w:space="0" w:color="auto"/>
        <w:bottom w:val="none" w:sz="0" w:space="0" w:color="auto"/>
        <w:right w:val="none" w:sz="0" w:space="0" w:color="auto"/>
      </w:divBdr>
      <w:divsChild>
        <w:div w:id="557056565">
          <w:marLeft w:val="0"/>
          <w:marRight w:val="0"/>
          <w:marTop w:val="0"/>
          <w:marBottom w:val="0"/>
          <w:divBdr>
            <w:top w:val="none" w:sz="0" w:space="0" w:color="auto"/>
            <w:left w:val="none" w:sz="0" w:space="0" w:color="auto"/>
            <w:bottom w:val="none" w:sz="0" w:space="0" w:color="auto"/>
            <w:right w:val="none" w:sz="0" w:space="0" w:color="auto"/>
          </w:divBdr>
          <w:divsChild>
            <w:div w:id="309210109">
              <w:marLeft w:val="0"/>
              <w:marRight w:val="0"/>
              <w:marTop w:val="0"/>
              <w:marBottom w:val="0"/>
              <w:divBdr>
                <w:top w:val="none" w:sz="0" w:space="0" w:color="auto"/>
                <w:left w:val="none" w:sz="0" w:space="0" w:color="auto"/>
                <w:bottom w:val="none" w:sz="0" w:space="0" w:color="auto"/>
                <w:right w:val="none" w:sz="0" w:space="0" w:color="auto"/>
              </w:divBdr>
              <w:divsChild>
                <w:div w:id="269095541">
                  <w:marLeft w:val="0"/>
                  <w:marRight w:val="0"/>
                  <w:marTop w:val="0"/>
                  <w:marBottom w:val="0"/>
                  <w:divBdr>
                    <w:top w:val="none" w:sz="0" w:space="0" w:color="auto"/>
                    <w:left w:val="none" w:sz="0" w:space="0" w:color="auto"/>
                    <w:bottom w:val="none" w:sz="0" w:space="0" w:color="auto"/>
                    <w:right w:val="none" w:sz="0" w:space="0" w:color="auto"/>
                  </w:divBdr>
                </w:div>
                <w:div w:id="5436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222443">
      <w:bodyDiv w:val="1"/>
      <w:marLeft w:val="0"/>
      <w:marRight w:val="0"/>
      <w:marTop w:val="0"/>
      <w:marBottom w:val="0"/>
      <w:divBdr>
        <w:top w:val="none" w:sz="0" w:space="0" w:color="auto"/>
        <w:left w:val="none" w:sz="0" w:space="0" w:color="auto"/>
        <w:bottom w:val="none" w:sz="0" w:space="0" w:color="auto"/>
        <w:right w:val="none" w:sz="0" w:space="0" w:color="auto"/>
      </w:divBdr>
    </w:div>
    <w:div w:id="1202935506">
      <w:bodyDiv w:val="1"/>
      <w:marLeft w:val="0"/>
      <w:marRight w:val="0"/>
      <w:marTop w:val="0"/>
      <w:marBottom w:val="0"/>
      <w:divBdr>
        <w:top w:val="none" w:sz="0" w:space="0" w:color="auto"/>
        <w:left w:val="none" w:sz="0" w:space="0" w:color="auto"/>
        <w:bottom w:val="none" w:sz="0" w:space="0" w:color="auto"/>
        <w:right w:val="none" w:sz="0" w:space="0" w:color="auto"/>
      </w:divBdr>
    </w:div>
    <w:div w:id="1204557905">
      <w:bodyDiv w:val="1"/>
      <w:marLeft w:val="0"/>
      <w:marRight w:val="0"/>
      <w:marTop w:val="0"/>
      <w:marBottom w:val="0"/>
      <w:divBdr>
        <w:top w:val="none" w:sz="0" w:space="0" w:color="auto"/>
        <w:left w:val="none" w:sz="0" w:space="0" w:color="auto"/>
        <w:bottom w:val="none" w:sz="0" w:space="0" w:color="auto"/>
        <w:right w:val="none" w:sz="0" w:space="0" w:color="auto"/>
      </w:divBdr>
    </w:div>
    <w:div w:id="1204976522">
      <w:bodyDiv w:val="1"/>
      <w:marLeft w:val="0"/>
      <w:marRight w:val="0"/>
      <w:marTop w:val="0"/>
      <w:marBottom w:val="0"/>
      <w:divBdr>
        <w:top w:val="none" w:sz="0" w:space="0" w:color="auto"/>
        <w:left w:val="none" w:sz="0" w:space="0" w:color="auto"/>
        <w:bottom w:val="none" w:sz="0" w:space="0" w:color="auto"/>
        <w:right w:val="none" w:sz="0" w:space="0" w:color="auto"/>
      </w:divBdr>
    </w:div>
    <w:div w:id="1207908680">
      <w:bodyDiv w:val="1"/>
      <w:marLeft w:val="0"/>
      <w:marRight w:val="0"/>
      <w:marTop w:val="0"/>
      <w:marBottom w:val="0"/>
      <w:divBdr>
        <w:top w:val="none" w:sz="0" w:space="0" w:color="auto"/>
        <w:left w:val="none" w:sz="0" w:space="0" w:color="auto"/>
        <w:bottom w:val="none" w:sz="0" w:space="0" w:color="auto"/>
        <w:right w:val="none" w:sz="0" w:space="0" w:color="auto"/>
      </w:divBdr>
    </w:div>
    <w:div w:id="1208641168">
      <w:bodyDiv w:val="1"/>
      <w:marLeft w:val="0"/>
      <w:marRight w:val="0"/>
      <w:marTop w:val="0"/>
      <w:marBottom w:val="0"/>
      <w:divBdr>
        <w:top w:val="none" w:sz="0" w:space="0" w:color="auto"/>
        <w:left w:val="none" w:sz="0" w:space="0" w:color="auto"/>
        <w:bottom w:val="none" w:sz="0" w:space="0" w:color="auto"/>
        <w:right w:val="none" w:sz="0" w:space="0" w:color="auto"/>
      </w:divBdr>
      <w:divsChild>
        <w:div w:id="968827691">
          <w:marLeft w:val="0"/>
          <w:marRight w:val="0"/>
          <w:marTop w:val="600"/>
          <w:marBottom w:val="600"/>
          <w:divBdr>
            <w:top w:val="none" w:sz="0" w:space="0" w:color="auto"/>
            <w:left w:val="single" w:sz="36" w:space="15" w:color="304EBB"/>
            <w:bottom w:val="none" w:sz="0" w:space="0" w:color="auto"/>
            <w:right w:val="none" w:sz="0" w:space="0" w:color="auto"/>
          </w:divBdr>
        </w:div>
      </w:divsChild>
    </w:div>
    <w:div w:id="1209994686">
      <w:bodyDiv w:val="1"/>
      <w:marLeft w:val="0"/>
      <w:marRight w:val="0"/>
      <w:marTop w:val="0"/>
      <w:marBottom w:val="0"/>
      <w:divBdr>
        <w:top w:val="none" w:sz="0" w:space="0" w:color="auto"/>
        <w:left w:val="none" w:sz="0" w:space="0" w:color="auto"/>
        <w:bottom w:val="none" w:sz="0" w:space="0" w:color="auto"/>
        <w:right w:val="none" w:sz="0" w:space="0" w:color="auto"/>
      </w:divBdr>
    </w:div>
    <w:div w:id="1212645148">
      <w:bodyDiv w:val="1"/>
      <w:marLeft w:val="0"/>
      <w:marRight w:val="0"/>
      <w:marTop w:val="0"/>
      <w:marBottom w:val="0"/>
      <w:divBdr>
        <w:top w:val="none" w:sz="0" w:space="0" w:color="auto"/>
        <w:left w:val="none" w:sz="0" w:space="0" w:color="auto"/>
        <w:bottom w:val="none" w:sz="0" w:space="0" w:color="auto"/>
        <w:right w:val="none" w:sz="0" w:space="0" w:color="auto"/>
      </w:divBdr>
    </w:div>
    <w:div w:id="1213690071">
      <w:bodyDiv w:val="1"/>
      <w:marLeft w:val="0"/>
      <w:marRight w:val="0"/>
      <w:marTop w:val="0"/>
      <w:marBottom w:val="0"/>
      <w:divBdr>
        <w:top w:val="none" w:sz="0" w:space="0" w:color="auto"/>
        <w:left w:val="none" w:sz="0" w:space="0" w:color="auto"/>
        <w:bottom w:val="none" w:sz="0" w:space="0" w:color="auto"/>
        <w:right w:val="none" w:sz="0" w:space="0" w:color="auto"/>
      </w:divBdr>
    </w:div>
    <w:div w:id="1218786825">
      <w:bodyDiv w:val="1"/>
      <w:marLeft w:val="0"/>
      <w:marRight w:val="0"/>
      <w:marTop w:val="0"/>
      <w:marBottom w:val="0"/>
      <w:divBdr>
        <w:top w:val="none" w:sz="0" w:space="0" w:color="auto"/>
        <w:left w:val="none" w:sz="0" w:space="0" w:color="auto"/>
        <w:bottom w:val="none" w:sz="0" w:space="0" w:color="auto"/>
        <w:right w:val="none" w:sz="0" w:space="0" w:color="auto"/>
      </w:divBdr>
    </w:div>
    <w:div w:id="1219704763">
      <w:bodyDiv w:val="1"/>
      <w:marLeft w:val="0"/>
      <w:marRight w:val="0"/>
      <w:marTop w:val="0"/>
      <w:marBottom w:val="0"/>
      <w:divBdr>
        <w:top w:val="none" w:sz="0" w:space="0" w:color="auto"/>
        <w:left w:val="none" w:sz="0" w:space="0" w:color="auto"/>
        <w:bottom w:val="none" w:sz="0" w:space="0" w:color="auto"/>
        <w:right w:val="none" w:sz="0" w:space="0" w:color="auto"/>
      </w:divBdr>
    </w:div>
    <w:div w:id="1220632527">
      <w:bodyDiv w:val="1"/>
      <w:marLeft w:val="0"/>
      <w:marRight w:val="0"/>
      <w:marTop w:val="0"/>
      <w:marBottom w:val="0"/>
      <w:divBdr>
        <w:top w:val="none" w:sz="0" w:space="0" w:color="auto"/>
        <w:left w:val="none" w:sz="0" w:space="0" w:color="auto"/>
        <w:bottom w:val="none" w:sz="0" w:space="0" w:color="auto"/>
        <w:right w:val="none" w:sz="0" w:space="0" w:color="auto"/>
      </w:divBdr>
    </w:div>
    <w:div w:id="1222860623">
      <w:bodyDiv w:val="1"/>
      <w:marLeft w:val="0"/>
      <w:marRight w:val="0"/>
      <w:marTop w:val="0"/>
      <w:marBottom w:val="0"/>
      <w:divBdr>
        <w:top w:val="none" w:sz="0" w:space="0" w:color="auto"/>
        <w:left w:val="none" w:sz="0" w:space="0" w:color="auto"/>
        <w:bottom w:val="none" w:sz="0" w:space="0" w:color="auto"/>
        <w:right w:val="none" w:sz="0" w:space="0" w:color="auto"/>
      </w:divBdr>
    </w:div>
    <w:div w:id="1225676249">
      <w:bodyDiv w:val="1"/>
      <w:marLeft w:val="0"/>
      <w:marRight w:val="0"/>
      <w:marTop w:val="0"/>
      <w:marBottom w:val="0"/>
      <w:divBdr>
        <w:top w:val="none" w:sz="0" w:space="0" w:color="auto"/>
        <w:left w:val="none" w:sz="0" w:space="0" w:color="auto"/>
        <w:bottom w:val="none" w:sz="0" w:space="0" w:color="auto"/>
        <w:right w:val="none" w:sz="0" w:space="0" w:color="auto"/>
      </w:divBdr>
      <w:divsChild>
        <w:div w:id="405150207">
          <w:marLeft w:val="0"/>
          <w:marRight w:val="0"/>
          <w:marTop w:val="0"/>
          <w:marBottom w:val="0"/>
          <w:divBdr>
            <w:top w:val="none" w:sz="0" w:space="0" w:color="auto"/>
            <w:left w:val="none" w:sz="0" w:space="0" w:color="auto"/>
            <w:bottom w:val="none" w:sz="0" w:space="0" w:color="auto"/>
            <w:right w:val="none" w:sz="0" w:space="0" w:color="auto"/>
          </w:divBdr>
        </w:div>
        <w:div w:id="1221016469">
          <w:marLeft w:val="0"/>
          <w:marRight w:val="0"/>
          <w:marTop w:val="0"/>
          <w:marBottom w:val="0"/>
          <w:divBdr>
            <w:top w:val="none" w:sz="0" w:space="0" w:color="auto"/>
            <w:left w:val="none" w:sz="0" w:space="0" w:color="auto"/>
            <w:bottom w:val="none" w:sz="0" w:space="0" w:color="auto"/>
            <w:right w:val="none" w:sz="0" w:space="0" w:color="auto"/>
          </w:divBdr>
        </w:div>
        <w:div w:id="1637030799">
          <w:marLeft w:val="0"/>
          <w:marRight w:val="0"/>
          <w:marTop w:val="0"/>
          <w:marBottom w:val="0"/>
          <w:divBdr>
            <w:top w:val="none" w:sz="0" w:space="0" w:color="auto"/>
            <w:left w:val="none" w:sz="0" w:space="0" w:color="auto"/>
            <w:bottom w:val="none" w:sz="0" w:space="0" w:color="auto"/>
            <w:right w:val="none" w:sz="0" w:space="0" w:color="auto"/>
          </w:divBdr>
        </w:div>
        <w:div w:id="1488400896">
          <w:marLeft w:val="0"/>
          <w:marRight w:val="0"/>
          <w:marTop w:val="0"/>
          <w:marBottom w:val="0"/>
          <w:divBdr>
            <w:top w:val="none" w:sz="0" w:space="0" w:color="auto"/>
            <w:left w:val="none" w:sz="0" w:space="0" w:color="auto"/>
            <w:bottom w:val="none" w:sz="0" w:space="0" w:color="auto"/>
            <w:right w:val="none" w:sz="0" w:space="0" w:color="auto"/>
          </w:divBdr>
        </w:div>
        <w:div w:id="1309743348">
          <w:marLeft w:val="0"/>
          <w:marRight w:val="0"/>
          <w:marTop w:val="0"/>
          <w:marBottom w:val="0"/>
          <w:divBdr>
            <w:top w:val="none" w:sz="0" w:space="0" w:color="auto"/>
            <w:left w:val="none" w:sz="0" w:space="0" w:color="auto"/>
            <w:bottom w:val="none" w:sz="0" w:space="0" w:color="auto"/>
            <w:right w:val="none" w:sz="0" w:space="0" w:color="auto"/>
          </w:divBdr>
        </w:div>
        <w:div w:id="1201626060">
          <w:marLeft w:val="0"/>
          <w:marRight w:val="0"/>
          <w:marTop w:val="0"/>
          <w:marBottom w:val="0"/>
          <w:divBdr>
            <w:top w:val="none" w:sz="0" w:space="0" w:color="auto"/>
            <w:left w:val="none" w:sz="0" w:space="0" w:color="auto"/>
            <w:bottom w:val="none" w:sz="0" w:space="0" w:color="auto"/>
            <w:right w:val="none" w:sz="0" w:space="0" w:color="auto"/>
          </w:divBdr>
        </w:div>
      </w:divsChild>
    </w:div>
    <w:div w:id="1227061410">
      <w:bodyDiv w:val="1"/>
      <w:marLeft w:val="0"/>
      <w:marRight w:val="0"/>
      <w:marTop w:val="0"/>
      <w:marBottom w:val="0"/>
      <w:divBdr>
        <w:top w:val="none" w:sz="0" w:space="0" w:color="auto"/>
        <w:left w:val="none" w:sz="0" w:space="0" w:color="auto"/>
        <w:bottom w:val="none" w:sz="0" w:space="0" w:color="auto"/>
        <w:right w:val="none" w:sz="0" w:space="0" w:color="auto"/>
      </w:divBdr>
    </w:div>
    <w:div w:id="1230187823">
      <w:bodyDiv w:val="1"/>
      <w:marLeft w:val="0"/>
      <w:marRight w:val="0"/>
      <w:marTop w:val="0"/>
      <w:marBottom w:val="0"/>
      <w:divBdr>
        <w:top w:val="none" w:sz="0" w:space="0" w:color="auto"/>
        <w:left w:val="none" w:sz="0" w:space="0" w:color="auto"/>
        <w:bottom w:val="none" w:sz="0" w:space="0" w:color="auto"/>
        <w:right w:val="none" w:sz="0" w:space="0" w:color="auto"/>
      </w:divBdr>
      <w:divsChild>
        <w:div w:id="1567686728">
          <w:marLeft w:val="0"/>
          <w:marRight w:val="0"/>
          <w:marTop w:val="0"/>
          <w:marBottom w:val="0"/>
          <w:divBdr>
            <w:top w:val="none" w:sz="0" w:space="0" w:color="auto"/>
            <w:left w:val="none" w:sz="0" w:space="0" w:color="auto"/>
            <w:bottom w:val="none" w:sz="0" w:space="0" w:color="auto"/>
            <w:right w:val="none" w:sz="0" w:space="0" w:color="auto"/>
          </w:divBdr>
          <w:divsChild>
            <w:div w:id="257905145">
              <w:marLeft w:val="0"/>
              <w:marRight w:val="0"/>
              <w:marTop w:val="0"/>
              <w:marBottom w:val="0"/>
              <w:divBdr>
                <w:top w:val="none" w:sz="0" w:space="0" w:color="auto"/>
                <w:left w:val="none" w:sz="0" w:space="0" w:color="auto"/>
                <w:bottom w:val="none" w:sz="0" w:space="0" w:color="auto"/>
                <w:right w:val="none" w:sz="0" w:space="0" w:color="auto"/>
              </w:divBdr>
              <w:divsChild>
                <w:div w:id="100613558">
                  <w:marLeft w:val="0"/>
                  <w:marRight w:val="0"/>
                  <w:marTop w:val="0"/>
                  <w:marBottom w:val="0"/>
                  <w:divBdr>
                    <w:top w:val="none" w:sz="0" w:space="0" w:color="auto"/>
                    <w:left w:val="none" w:sz="0" w:space="0" w:color="auto"/>
                    <w:bottom w:val="none" w:sz="0" w:space="0" w:color="auto"/>
                    <w:right w:val="none" w:sz="0" w:space="0" w:color="auto"/>
                  </w:divBdr>
                  <w:divsChild>
                    <w:div w:id="630601248">
                      <w:marLeft w:val="0"/>
                      <w:marRight w:val="0"/>
                      <w:marTop w:val="0"/>
                      <w:marBottom w:val="0"/>
                      <w:divBdr>
                        <w:top w:val="none" w:sz="0" w:space="0" w:color="auto"/>
                        <w:left w:val="none" w:sz="0" w:space="0" w:color="auto"/>
                        <w:bottom w:val="none" w:sz="0" w:space="0" w:color="auto"/>
                        <w:right w:val="none" w:sz="0" w:space="0" w:color="auto"/>
                      </w:divBdr>
                      <w:divsChild>
                        <w:div w:id="10868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046718">
      <w:bodyDiv w:val="1"/>
      <w:marLeft w:val="0"/>
      <w:marRight w:val="0"/>
      <w:marTop w:val="0"/>
      <w:marBottom w:val="0"/>
      <w:divBdr>
        <w:top w:val="none" w:sz="0" w:space="0" w:color="auto"/>
        <w:left w:val="none" w:sz="0" w:space="0" w:color="auto"/>
        <w:bottom w:val="none" w:sz="0" w:space="0" w:color="auto"/>
        <w:right w:val="none" w:sz="0" w:space="0" w:color="auto"/>
      </w:divBdr>
    </w:div>
    <w:div w:id="1235580928">
      <w:bodyDiv w:val="1"/>
      <w:marLeft w:val="0"/>
      <w:marRight w:val="0"/>
      <w:marTop w:val="0"/>
      <w:marBottom w:val="0"/>
      <w:divBdr>
        <w:top w:val="none" w:sz="0" w:space="0" w:color="auto"/>
        <w:left w:val="none" w:sz="0" w:space="0" w:color="auto"/>
        <w:bottom w:val="none" w:sz="0" w:space="0" w:color="auto"/>
        <w:right w:val="none" w:sz="0" w:space="0" w:color="auto"/>
      </w:divBdr>
    </w:div>
    <w:div w:id="1240286434">
      <w:bodyDiv w:val="1"/>
      <w:marLeft w:val="0"/>
      <w:marRight w:val="0"/>
      <w:marTop w:val="0"/>
      <w:marBottom w:val="0"/>
      <w:divBdr>
        <w:top w:val="none" w:sz="0" w:space="0" w:color="auto"/>
        <w:left w:val="none" w:sz="0" w:space="0" w:color="auto"/>
        <w:bottom w:val="none" w:sz="0" w:space="0" w:color="auto"/>
        <w:right w:val="none" w:sz="0" w:space="0" w:color="auto"/>
      </w:divBdr>
    </w:div>
    <w:div w:id="1241646033">
      <w:bodyDiv w:val="1"/>
      <w:marLeft w:val="0"/>
      <w:marRight w:val="0"/>
      <w:marTop w:val="0"/>
      <w:marBottom w:val="0"/>
      <w:divBdr>
        <w:top w:val="none" w:sz="0" w:space="0" w:color="auto"/>
        <w:left w:val="none" w:sz="0" w:space="0" w:color="auto"/>
        <w:bottom w:val="none" w:sz="0" w:space="0" w:color="auto"/>
        <w:right w:val="none" w:sz="0" w:space="0" w:color="auto"/>
      </w:divBdr>
    </w:div>
    <w:div w:id="1242983218">
      <w:bodyDiv w:val="1"/>
      <w:marLeft w:val="0"/>
      <w:marRight w:val="0"/>
      <w:marTop w:val="0"/>
      <w:marBottom w:val="0"/>
      <w:divBdr>
        <w:top w:val="none" w:sz="0" w:space="0" w:color="auto"/>
        <w:left w:val="none" w:sz="0" w:space="0" w:color="auto"/>
        <w:bottom w:val="none" w:sz="0" w:space="0" w:color="auto"/>
        <w:right w:val="none" w:sz="0" w:space="0" w:color="auto"/>
      </w:divBdr>
    </w:div>
    <w:div w:id="1246919623">
      <w:bodyDiv w:val="1"/>
      <w:marLeft w:val="0"/>
      <w:marRight w:val="0"/>
      <w:marTop w:val="0"/>
      <w:marBottom w:val="0"/>
      <w:divBdr>
        <w:top w:val="none" w:sz="0" w:space="0" w:color="auto"/>
        <w:left w:val="none" w:sz="0" w:space="0" w:color="auto"/>
        <w:bottom w:val="none" w:sz="0" w:space="0" w:color="auto"/>
        <w:right w:val="none" w:sz="0" w:space="0" w:color="auto"/>
      </w:divBdr>
    </w:div>
    <w:div w:id="1248657882">
      <w:bodyDiv w:val="1"/>
      <w:marLeft w:val="0"/>
      <w:marRight w:val="0"/>
      <w:marTop w:val="0"/>
      <w:marBottom w:val="0"/>
      <w:divBdr>
        <w:top w:val="none" w:sz="0" w:space="0" w:color="auto"/>
        <w:left w:val="none" w:sz="0" w:space="0" w:color="auto"/>
        <w:bottom w:val="none" w:sz="0" w:space="0" w:color="auto"/>
        <w:right w:val="none" w:sz="0" w:space="0" w:color="auto"/>
      </w:divBdr>
    </w:div>
    <w:div w:id="1252467318">
      <w:bodyDiv w:val="1"/>
      <w:marLeft w:val="0"/>
      <w:marRight w:val="0"/>
      <w:marTop w:val="0"/>
      <w:marBottom w:val="0"/>
      <w:divBdr>
        <w:top w:val="none" w:sz="0" w:space="0" w:color="auto"/>
        <w:left w:val="none" w:sz="0" w:space="0" w:color="auto"/>
        <w:bottom w:val="none" w:sz="0" w:space="0" w:color="auto"/>
        <w:right w:val="none" w:sz="0" w:space="0" w:color="auto"/>
      </w:divBdr>
    </w:div>
    <w:div w:id="1254820376">
      <w:bodyDiv w:val="1"/>
      <w:marLeft w:val="0"/>
      <w:marRight w:val="0"/>
      <w:marTop w:val="0"/>
      <w:marBottom w:val="0"/>
      <w:divBdr>
        <w:top w:val="none" w:sz="0" w:space="0" w:color="auto"/>
        <w:left w:val="none" w:sz="0" w:space="0" w:color="auto"/>
        <w:bottom w:val="none" w:sz="0" w:space="0" w:color="auto"/>
        <w:right w:val="none" w:sz="0" w:space="0" w:color="auto"/>
      </w:divBdr>
    </w:div>
    <w:div w:id="1257401533">
      <w:bodyDiv w:val="1"/>
      <w:marLeft w:val="0"/>
      <w:marRight w:val="0"/>
      <w:marTop w:val="0"/>
      <w:marBottom w:val="0"/>
      <w:divBdr>
        <w:top w:val="none" w:sz="0" w:space="0" w:color="auto"/>
        <w:left w:val="none" w:sz="0" w:space="0" w:color="auto"/>
        <w:bottom w:val="none" w:sz="0" w:space="0" w:color="auto"/>
        <w:right w:val="none" w:sz="0" w:space="0" w:color="auto"/>
      </w:divBdr>
    </w:div>
    <w:div w:id="1263880436">
      <w:bodyDiv w:val="1"/>
      <w:marLeft w:val="0"/>
      <w:marRight w:val="0"/>
      <w:marTop w:val="0"/>
      <w:marBottom w:val="0"/>
      <w:divBdr>
        <w:top w:val="none" w:sz="0" w:space="0" w:color="auto"/>
        <w:left w:val="none" w:sz="0" w:space="0" w:color="auto"/>
        <w:bottom w:val="none" w:sz="0" w:space="0" w:color="auto"/>
        <w:right w:val="none" w:sz="0" w:space="0" w:color="auto"/>
      </w:divBdr>
    </w:div>
    <w:div w:id="1264876232">
      <w:bodyDiv w:val="1"/>
      <w:marLeft w:val="0"/>
      <w:marRight w:val="0"/>
      <w:marTop w:val="0"/>
      <w:marBottom w:val="0"/>
      <w:divBdr>
        <w:top w:val="none" w:sz="0" w:space="0" w:color="auto"/>
        <w:left w:val="none" w:sz="0" w:space="0" w:color="auto"/>
        <w:bottom w:val="none" w:sz="0" w:space="0" w:color="auto"/>
        <w:right w:val="none" w:sz="0" w:space="0" w:color="auto"/>
      </w:divBdr>
      <w:divsChild>
        <w:div w:id="1734156018">
          <w:marLeft w:val="0"/>
          <w:marRight w:val="0"/>
          <w:marTop w:val="0"/>
          <w:marBottom w:val="0"/>
          <w:divBdr>
            <w:top w:val="none" w:sz="0" w:space="0" w:color="auto"/>
            <w:left w:val="none" w:sz="0" w:space="0" w:color="auto"/>
            <w:bottom w:val="none" w:sz="0" w:space="0" w:color="auto"/>
            <w:right w:val="none" w:sz="0" w:space="0" w:color="auto"/>
          </w:divBdr>
          <w:divsChild>
            <w:div w:id="1259556705">
              <w:marLeft w:val="0"/>
              <w:marRight w:val="0"/>
              <w:marTop w:val="0"/>
              <w:marBottom w:val="0"/>
              <w:divBdr>
                <w:top w:val="none" w:sz="0" w:space="0" w:color="auto"/>
                <w:left w:val="none" w:sz="0" w:space="0" w:color="auto"/>
                <w:bottom w:val="none" w:sz="0" w:space="0" w:color="auto"/>
                <w:right w:val="none" w:sz="0" w:space="0" w:color="auto"/>
              </w:divBdr>
              <w:divsChild>
                <w:div w:id="701252448">
                  <w:marLeft w:val="0"/>
                  <w:marRight w:val="0"/>
                  <w:marTop w:val="0"/>
                  <w:marBottom w:val="0"/>
                  <w:divBdr>
                    <w:top w:val="none" w:sz="0" w:space="0" w:color="auto"/>
                    <w:left w:val="none" w:sz="0" w:space="0" w:color="auto"/>
                    <w:bottom w:val="none" w:sz="0" w:space="0" w:color="auto"/>
                    <w:right w:val="none" w:sz="0" w:space="0" w:color="auto"/>
                  </w:divBdr>
                  <w:divsChild>
                    <w:div w:id="7749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960548">
      <w:bodyDiv w:val="1"/>
      <w:marLeft w:val="0"/>
      <w:marRight w:val="0"/>
      <w:marTop w:val="0"/>
      <w:marBottom w:val="0"/>
      <w:divBdr>
        <w:top w:val="none" w:sz="0" w:space="0" w:color="auto"/>
        <w:left w:val="none" w:sz="0" w:space="0" w:color="auto"/>
        <w:bottom w:val="none" w:sz="0" w:space="0" w:color="auto"/>
        <w:right w:val="none" w:sz="0" w:space="0" w:color="auto"/>
      </w:divBdr>
    </w:div>
    <w:div w:id="1271626535">
      <w:bodyDiv w:val="1"/>
      <w:marLeft w:val="0"/>
      <w:marRight w:val="0"/>
      <w:marTop w:val="0"/>
      <w:marBottom w:val="0"/>
      <w:divBdr>
        <w:top w:val="none" w:sz="0" w:space="0" w:color="auto"/>
        <w:left w:val="none" w:sz="0" w:space="0" w:color="auto"/>
        <w:bottom w:val="none" w:sz="0" w:space="0" w:color="auto"/>
        <w:right w:val="none" w:sz="0" w:space="0" w:color="auto"/>
      </w:divBdr>
    </w:div>
    <w:div w:id="1283272126">
      <w:bodyDiv w:val="1"/>
      <w:marLeft w:val="0"/>
      <w:marRight w:val="0"/>
      <w:marTop w:val="0"/>
      <w:marBottom w:val="0"/>
      <w:divBdr>
        <w:top w:val="none" w:sz="0" w:space="0" w:color="auto"/>
        <w:left w:val="none" w:sz="0" w:space="0" w:color="auto"/>
        <w:bottom w:val="none" w:sz="0" w:space="0" w:color="auto"/>
        <w:right w:val="none" w:sz="0" w:space="0" w:color="auto"/>
      </w:divBdr>
    </w:div>
    <w:div w:id="1283461537">
      <w:bodyDiv w:val="1"/>
      <w:marLeft w:val="0"/>
      <w:marRight w:val="0"/>
      <w:marTop w:val="0"/>
      <w:marBottom w:val="0"/>
      <w:divBdr>
        <w:top w:val="none" w:sz="0" w:space="0" w:color="auto"/>
        <w:left w:val="none" w:sz="0" w:space="0" w:color="auto"/>
        <w:bottom w:val="none" w:sz="0" w:space="0" w:color="auto"/>
        <w:right w:val="none" w:sz="0" w:space="0" w:color="auto"/>
      </w:divBdr>
    </w:div>
    <w:div w:id="1285115604">
      <w:bodyDiv w:val="1"/>
      <w:marLeft w:val="0"/>
      <w:marRight w:val="0"/>
      <w:marTop w:val="0"/>
      <w:marBottom w:val="0"/>
      <w:divBdr>
        <w:top w:val="none" w:sz="0" w:space="0" w:color="auto"/>
        <w:left w:val="none" w:sz="0" w:space="0" w:color="auto"/>
        <w:bottom w:val="none" w:sz="0" w:space="0" w:color="auto"/>
        <w:right w:val="none" w:sz="0" w:space="0" w:color="auto"/>
      </w:divBdr>
      <w:divsChild>
        <w:div w:id="20982899">
          <w:marLeft w:val="0"/>
          <w:marRight w:val="0"/>
          <w:marTop w:val="0"/>
          <w:marBottom w:val="0"/>
          <w:divBdr>
            <w:top w:val="none" w:sz="0" w:space="0" w:color="auto"/>
            <w:left w:val="none" w:sz="0" w:space="0" w:color="auto"/>
            <w:bottom w:val="none" w:sz="0" w:space="0" w:color="auto"/>
            <w:right w:val="none" w:sz="0" w:space="0" w:color="auto"/>
          </w:divBdr>
        </w:div>
        <w:div w:id="73405436">
          <w:marLeft w:val="0"/>
          <w:marRight w:val="0"/>
          <w:marTop w:val="0"/>
          <w:marBottom w:val="0"/>
          <w:divBdr>
            <w:top w:val="none" w:sz="0" w:space="0" w:color="auto"/>
            <w:left w:val="none" w:sz="0" w:space="0" w:color="auto"/>
            <w:bottom w:val="none" w:sz="0" w:space="0" w:color="auto"/>
            <w:right w:val="none" w:sz="0" w:space="0" w:color="auto"/>
          </w:divBdr>
        </w:div>
        <w:div w:id="90781592">
          <w:marLeft w:val="0"/>
          <w:marRight w:val="0"/>
          <w:marTop w:val="0"/>
          <w:marBottom w:val="0"/>
          <w:divBdr>
            <w:top w:val="none" w:sz="0" w:space="0" w:color="auto"/>
            <w:left w:val="none" w:sz="0" w:space="0" w:color="auto"/>
            <w:bottom w:val="none" w:sz="0" w:space="0" w:color="auto"/>
            <w:right w:val="none" w:sz="0" w:space="0" w:color="auto"/>
          </w:divBdr>
        </w:div>
        <w:div w:id="345254661">
          <w:marLeft w:val="0"/>
          <w:marRight w:val="0"/>
          <w:marTop w:val="0"/>
          <w:marBottom w:val="0"/>
          <w:divBdr>
            <w:top w:val="none" w:sz="0" w:space="0" w:color="auto"/>
            <w:left w:val="none" w:sz="0" w:space="0" w:color="auto"/>
            <w:bottom w:val="none" w:sz="0" w:space="0" w:color="auto"/>
            <w:right w:val="none" w:sz="0" w:space="0" w:color="auto"/>
          </w:divBdr>
        </w:div>
        <w:div w:id="419326798">
          <w:marLeft w:val="0"/>
          <w:marRight w:val="0"/>
          <w:marTop w:val="0"/>
          <w:marBottom w:val="0"/>
          <w:divBdr>
            <w:top w:val="none" w:sz="0" w:space="0" w:color="auto"/>
            <w:left w:val="none" w:sz="0" w:space="0" w:color="auto"/>
            <w:bottom w:val="none" w:sz="0" w:space="0" w:color="auto"/>
            <w:right w:val="none" w:sz="0" w:space="0" w:color="auto"/>
          </w:divBdr>
        </w:div>
        <w:div w:id="678391858">
          <w:marLeft w:val="0"/>
          <w:marRight w:val="0"/>
          <w:marTop w:val="0"/>
          <w:marBottom w:val="0"/>
          <w:divBdr>
            <w:top w:val="none" w:sz="0" w:space="0" w:color="auto"/>
            <w:left w:val="none" w:sz="0" w:space="0" w:color="auto"/>
            <w:bottom w:val="none" w:sz="0" w:space="0" w:color="auto"/>
            <w:right w:val="none" w:sz="0" w:space="0" w:color="auto"/>
          </w:divBdr>
        </w:div>
        <w:div w:id="851918323">
          <w:marLeft w:val="0"/>
          <w:marRight w:val="0"/>
          <w:marTop w:val="0"/>
          <w:marBottom w:val="0"/>
          <w:divBdr>
            <w:top w:val="none" w:sz="0" w:space="0" w:color="auto"/>
            <w:left w:val="none" w:sz="0" w:space="0" w:color="auto"/>
            <w:bottom w:val="none" w:sz="0" w:space="0" w:color="auto"/>
            <w:right w:val="none" w:sz="0" w:space="0" w:color="auto"/>
          </w:divBdr>
        </w:div>
        <w:div w:id="939607595">
          <w:marLeft w:val="0"/>
          <w:marRight w:val="0"/>
          <w:marTop w:val="0"/>
          <w:marBottom w:val="0"/>
          <w:divBdr>
            <w:top w:val="none" w:sz="0" w:space="0" w:color="auto"/>
            <w:left w:val="none" w:sz="0" w:space="0" w:color="auto"/>
            <w:bottom w:val="none" w:sz="0" w:space="0" w:color="auto"/>
            <w:right w:val="none" w:sz="0" w:space="0" w:color="auto"/>
          </w:divBdr>
        </w:div>
        <w:div w:id="1025445842">
          <w:marLeft w:val="0"/>
          <w:marRight w:val="0"/>
          <w:marTop w:val="0"/>
          <w:marBottom w:val="0"/>
          <w:divBdr>
            <w:top w:val="none" w:sz="0" w:space="0" w:color="auto"/>
            <w:left w:val="none" w:sz="0" w:space="0" w:color="auto"/>
            <w:bottom w:val="none" w:sz="0" w:space="0" w:color="auto"/>
            <w:right w:val="none" w:sz="0" w:space="0" w:color="auto"/>
          </w:divBdr>
        </w:div>
        <w:div w:id="1209218856">
          <w:marLeft w:val="0"/>
          <w:marRight w:val="0"/>
          <w:marTop w:val="0"/>
          <w:marBottom w:val="0"/>
          <w:divBdr>
            <w:top w:val="none" w:sz="0" w:space="0" w:color="auto"/>
            <w:left w:val="none" w:sz="0" w:space="0" w:color="auto"/>
            <w:bottom w:val="none" w:sz="0" w:space="0" w:color="auto"/>
            <w:right w:val="none" w:sz="0" w:space="0" w:color="auto"/>
          </w:divBdr>
        </w:div>
        <w:div w:id="1259411504">
          <w:marLeft w:val="0"/>
          <w:marRight w:val="0"/>
          <w:marTop w:val="0"/>
          <w:marBottom w:val="0"/>
          <w:divBdr>
            <w:top w:val="none" w:sz="0" w:space="0" w:color="auto"/>
            <w:left w:val="none" w:sz="0" w:space="0" w:color="auto"/>
            <w:bottom w:val="none" w:sz="0" w:space="0" w:color="auto"/>
            <w:right w:val="none" w:sz="0" w:space="0" w:color="auto"/>
          </w:divBdr>
        </w:div>
        <w:div w:id="1425759567">
          <w:marLeft w:val="0"/>
          <w:marRight w:val="0"/>
          <w:marTop w:val="0"/>
          <w:marBottom w:val="0"/>
          <w:divBdr>
            <w:top w:val="none" w:sz="0" w:space="0" w:color="auto"/>
            <w:left w:val="none" w:sz="0" w:space="0" w:color="auto"/>
            <w:bottom w:val="none" w:sz="0" w:space="0" w:color="auto"/>
            <w:right w:val="none" w:sz="0" w:space="0" w:color="auto"/>
          </w:divBdr>
        </w:div>
        <w:div w:id="1453094085">
          <w:marLeft w:val="0"/>
          <w:marRight w:val="0"/>
          <w:marTop w:val="0"/>
          <w:marBottom w:val="0"/>
          <w:divBdr>
            <w:top w:val="none" w:sz="0" w:space="0" w:color="auto"/>
            <w:left w:val="none" w:sz="0" w:space="0" w:color="auto"/>
            <w:bottom w:val="none" w:sz="0" w:space="0" w:color="auto"/>
            <w:right w:val="none" w:sz="0" w:space="0" w:color="auto"/>
          </w:divBdr>
        </w:div>
        <w:div w:id="1499156280">
          <w:marLeft w:val="0"/>
          <w:marRight w:val="0"/>
          <w:marTop w:val="0"/>
          <w:marBottom w:val="0"/>
          <w:divBdr>
            <w:top w:val="none" w:sz="0" w:space="0" w:color="auto"/>
            <w:left w:val="none" w:sz="0" w:space="0" w:color="auto"/>
            <w:bottom w:val="none" w:sz="0" w:space="0" w:color="auto"/>
            <w:right w:val="none" w:sz="0" w:space="0" w:color="auto"/>
          </w:divBdr>
        </w:div>
        <w:div w:id="1820222840">
          <w:marLeft w:val="0"/>
          <w:marRight w:val="0"/>
          <w:marTop w:val="0"/>
          <w:marBottom w:val="0"/>
          <w:divBdr>
            <w:top w:val="none" w:sz="0" w:space="0" w:color="auto"/>
            <w:left w:val="none" w:sz="0" w:space="0" w:color="auto"/>
            <w:bottom w:val="none" w:sz="0" w:space="0" w:color="auto"/>
            <w:right w:val="none" w:sz="0" w:space="0" w:color="auto"/>
          </w:divBdr>
        </w:div>
      </w:divsChild>
    </w:div>
    <w:div w:id="1289430346">
      <w:bodyDiv w:val="1"/>
      <w:marLeft w:val="0"/>
      <w:marRight w:val="0"/>
      <w:marTop w:val="0"/>
      <w:marBottom w:val="0"/>
      <w:divBdr>
        <w:top w:val="none" w:sz="0" w:space="0" w:color="auto"/>
        <w:left w:val="none" w:sz="0" w:space="0" w:color="auto"/>
        <w:bottom w:val="none" w:sz="0" w:space="0" w:color="auto"/>
        <w:right w:val="none" w:sz="0" w:space="0" w:color="auto"/>
      </w:divBdr>
      <w:divsChild>
        <w:div w:id="1764492057">
          <w:marLeft w:val="0"/>
          <w:marRight w:val="0"/>
          <w:marTop w:val="150"/>
          <w:marBottom w:val="300"/>
          <w:divBdr>
            <w:top w:val="none" w:sz="0" w:space="0" w:color="auto"/>
            <w:left w:val="none" w:sz="0" w:space="0" w:color="auto"/>
            <w:bottom w:val="none" w:sz="0" w:space="0" w:color="auto"/>
            <w:right w:val="none" w:sz="0" w:space="0" w:color="auto"/>
          </w:divBdr>
        </w:div>
      </w:divsChild>
    </w:div>
    <w:div w:id="1291088280">
      <w:bodyDiv w:val="1"/>
      <w:marLeft w:val="0"/>
      <w:marRight w:val="0"/>
      <w:marTop w:val="0"/>
      <w:marBottom w:val="0"/>
      <w:divBdr>
        <w:top w:val="none" w:sz="0" w:space="0" w:color="auto"/>
        <w:left w:val="none" w:sz="0" w:space="0" w:color="auto"/>
        <w:bottom w:val="none" w:sz="0" w:space="0" w:color="auto"/>
        <w:right w:val="none" w:sz="0" w:space="0" w:color="auto"/>
      </w:divBdr>
    </w:div>
    <w:div w:id="1294479052">
      <w:bodyDiv w:val="1"/>
      <w:marLeft w:val="0"/>
      <w:marRight w:val="0"/>
      <w:marTop w:val="0"/>
      <w:marBottom w:val="0"/>
      <w:divBdr>
        <w:top w:val="none" w:sz="0" w:space="0" w:color="auto"/>
        <w:left w:val="none" w:sz="0" w:space="0" w:color="auto"/>
        <w:bottom w:val="none" w:sz="0" w:space="0" w:color="auto"/>
        <w:right w:val="none" w:sz="0" w:space="0" w:color="auto"/>
      </w:divBdr>
      <w:divsChild>
        <w:div w:id="1176119337">
          <w:marLeft w:val="0"/>
          <w:marRight w:val="0"/>
          <w:marTop w:val="0"/>
          <w:marBottom w:val="0"/>
          <w:divBdr>
            <w:top w:val="none" w:sz="0" w:space="0" w:color="auto"/>
            <w:left w:val="none" w:sz="0" w:space="0" w:color="auto"/>
            <w:bottom w:val="none" w:sz="0" w:space="0" w:color="auto"/>
            <w:right w:val="none" w:sz="0" w:space="0" w:color="auto"/>
          </w:divBdr>
          <w:divsChild>
            <w:div w:id="138111006">
              <w:marLeft w:val="0"/>
              <w:marRight w:val="0"/>
              <w:marTop w:val="0"/>
              <w:marBottom w:val="0"/>
              <w:divBdr>
                <w:top w:val="none" w:sz="0" w:space="0" w:color="auto"/>
                <w:left w:val="none" w:sz="0" w:space="0" w:color="auto"/>
                <w:bottom w:val="none" w:sz="0" w:space="0" w:color="auto"/>
                <w:right w:val="none" w:sz="0" w:space="0" w:color="auto"/>
              </w:divBdr>
            </w:div>
            <w:div w:id="894241861">
              <w:marLeft w:val="0"/>
              <w:marRight w:val="0"/>
              <w:marTop w:val="0"/>
              <w:marBottom w:val="0"/>
              <w:divBdr>
                <w:top w:val="none" w:sz="0" w:space="0" w:color="auto"/>
                <w:left w:val="none" w:sz="0" w:space="0" w:color="auto"/>
                <w:bottom w:val="none" w:sz="0" w:space="0" w:color="auto"/>
                <w:right w:val="none" w:sz="0" w:space="0" w:color="auto"/>
              </w:divBdr>
              <w:divsChild>
                <w:div w:id="4292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15175">
      <w:bodyDiv w:val="1"/>
      <w:marLeft w:val="0"/>
      <w:marRight w:val="0"/>
      <w:marTop w:val="0"/>
      <w:marBottom w:val="0"/>
      <w:divBdr>
        <w:top w:val="none" w:sz="0" w:space="0" w:color="auto"/>
        <w:left w:val="none" w:sz="0" w:space="0" w:color="auto"/>
        <w:bottom w:val="none" w:sz="0" w:space="0" w:color="auto"/>
        <w:right w:val="none" w:sz="0" w:space="0" w:color="auto"/>
      </w:divBdr>
    </w:div>
    <w:div w:id="1303265046">
      <w:bodyDiv w:val="1"/>
      <w:marLeft w:val="0"/>
      <w:marRight w:val="0"/>
      <w:marTop w:val="0"/>
      <w:marBottom w:val="0"/>
      <w:divBdr>
        <w:top w:val="none" w:sz="0" w:space="0" w:color="auto"/>
        <w:left w:val="none" w:sz="0" w:space="0" w:color="auto"/>
        <w:bottom w:val="none" w:sz="0" w:space="0" w:color="auto"/>
        <w:right w:val="none" w:sz="0" w:space="0" w:color="auto"/>
      </w:divBdr>
    </w:div>
    <w:div w:id="1307128730">
      <w:bodyDiv w:val="1"/>
      <w:marLeft w:val="0"/>
      <w:marRight w:val="0"/>
      <w:marTop w:val="0"/>
      <w:marBottom w:val="0"/>
      <w:divBdr>
        <w:top w:val="none" w:sz="0" w:space="0" w:color="auto"/>
        <w:left w:val="none" w:sz="0" w:space="0" w:color="auto"/>
        <w:bottom w:val="none" w:sz="0" w:space="0" w:color="auto"/>
        <w:right w:val="none" w:sz="0" w:space="0" w:color="auto"/>
      </w:divBdr>
    </w:div>
    <w:div w:id="1310015125">
      <w:bodyDiv w:val="1"/>
      <w:marLeft w:val="0"/>
      <w:marRight w:val="0"/>
      <w:marTop w:val="0"/>
      <w:marBottom w:val="0"/>
      <w:divBdr>
        <w:top w:val="none" w:sz="0" w:space="0" w:color="auto"/>
        <w:left w:val="none" w:sz="0" w:space="0" w:color="auto"/>
        <w:bottom w:val="none" w:sz="0" w:space="0" w:color="auto"/>
        <w:right w:val="none" w:sz="0" w:space="0" w:color="auto"/>
      </w:divBdr>
    </w:div>
    <w:div w:id="1313673899">
      <w:bodyDiv w:val="1"/>
      <w:marLeft w:val="0"/>
      <w:marRight w:val="0"/>
      <w:marTop w:val="0"/>
      <w:marBottom w:val="0"/>
      <w:divBdr>
        <w:top w:val="none" w:sz="0" w:space="0" w:color="auto"/>
        <w:left w:val="none" w:sz="0" w:space="0" w:color="auto"/>
        <w:bottom w:val="none" w:sz="0" w:space="0" w:color="auto"/>
        <w:right w:val="none" w:sz="0" w:space="0" w:color="auto"/>
      </w:divBdr>
      <w:divsChild>
        <w:div w:id="175659630">
          <w:marLeft w:val="0"/>
          <w:marRight w:val="0"/>
          <w:marTop w:val="0"/>
          <w:marBottom w:val="0"/>
          <w:divBdr>
            <w:top w:val="none" w:sz="0" w:space="0" w:color="auto"/>
            <w:left w:val="none" w:sz="0" w:space="0" w:color="auto"/>
            <w:bottom w:val="none" w:sz="0" w:space="0" w:color="auto"/>
            <w:right w:val="none" w:sz="0" w:space="0" w:color="auto"/>
          </w:divBdr>
          <w:divsChild>
            <w:div w:id="2004816224">
              <w:marLeft w:val="0"/>
              <w:marRight w:val="0"/>
              <w:marTop w:val="0"/>
              <w:marBottom w:val="0"/>
              <w:divBdr>
                <w:top w:val="none" w:sz="0" w:space="0" w:color="auto"/>
                <w:left w:val="none" w:sz="0" w:space="0" w:color="auto"/>
                <w:bottom w:val="none" w:sz="0" w:space="0" w:color="auto"/>
                <w:right w:val="none" w:sz="0" w:space="0" w:color="auto"/>
              </w:divBdr>
              <w:divsChild>
                <w:div w:id="10610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826349">
      <w:bodyDiv w:val="1"/>
      <w:marLeft w:val="0"/>
      <w:marRight w:val="0"/>
      <w:marTop w:val="0"/>
      <w:marBottom w:val="0"/>
      <w:divBdr>
        <w:top w:val="none" w:sz="0" w:space="0" w:color="auto"/>
        <w:left w:val="none" w:sz="0" w:space="0" w:color="auto"/>
        <w:bottom w:val="none" w:sz="0" w:space="0" w:color="auto"/>
        <w:right w:val="none" w:sz="0" w:space="0" w:color="auto"/>
      </w:divBdr>
    </w:div>
    <w:div w:id="1314724158">
      <w:bodyDiv w:val="1"/>
      <w:marLeft w:val="0"/>
      <w:marRight w:val="0"/>
      <w:marTop w:val="0"/>
      <w:marBottom w:val="0"/>
      <w:divBdr>
        <w:top w:val="none" w:sz="0" w:space="0" w:color="auto"/>
        <w:left w:val="none" w:sz="0" w:space="0" w:color="auto"/>
        <w:bottom w:val="none" w:sz="0" w:space="0" w:color="auto"/>
        <w:right w:val="none" w:sz="0" w:space="0" w:color="auto"/>
      </w:divBdr>
    </w:div>
    <w:div w:id="1319115869">
      <w:bodyDiv w:val="1"/>
      <w:marLeft w:val="0"/>
      <w:marRight w:val="0"/>
      <w:marTop w:val="0"/>
      <w:marBottom w:val="0"/>
      <w:divBdr>
        <w:top w:val="none" w:sz="0" w:space="0" w:color="auto"/>
        <w:left w:val="none" w:sz="0" w:space="0" w:color="auto"/>
        <w:bottom w:val="none" w:sz="0" w:space="0" w:color="auto"/>
        <w:right w:val="none" w:sz="0" w:space="0" w:color="auto"/>
      </w:divBdr>
    </w:div>
    <w:div w:id="1322195942">
      <w:bodyDiv w:val="1"/>
      <w:marLeft w:val="0"/>
      <w:marRight w:val="0"/>
      <w:marTop w:val="0"/>
      <w:marBottom w:val="0"/>
      <w:divBdr>
        <w:top w:val="none" w:sz="0" w:space="0" w:color="auto"/>
        <w:left w:val="none" w:sz="0" w:space="0" w:color="auto"/>
        <w:bottom w:val="none" w:sz="0" w:space="0" w:color="auto"/>
        <w:right w:val="none" w:sz="0" w:space="0" w:color="auto"/>
      </w:divBdr>
    </w:div>
    <w:div w:id="1323001373">
      <w:bodyDiv w:val="1"/>
      <w:marLeft w:val="0"/>
      <w:marRight w:val="0"/>
      <w:marTop w:val="0"/>
      <w:marBottom w:val="0"/>
      <w:divBdr>
        <w:top w:val="none" w:sz="0" w:space="0" w:color="auto"/>
        <w:left w:val="none" w:sz="0" w:space="0" w:color="auto"/>
        <w:bottom w:val="none" w:sz="0" w:space="0" w:color="auto"/>
        <w:right w:val="none" w:sz="0" w:space="0" w:color="auto"/>
      </w:divBdr>
      <w:divsChild>
        <w:div w:id="373234578">
          <w:marLeft w:val="0"/>
          <w:marRight w:val="0"/>
          <w:marTop w:val="0"/>
          <w:marBottom w:val="0"/>
          <w:divBdr>
            <w:top w:val="none" w:sz="0" w:space="0" w:color="auto"/>
            <w:left w:val="none" w:sz="0" w:space="0" w:color="auto"/>
            <w:bottom w:val="none" w:sz="0" w:space="0" w:color="auto"/>
            <w:right w:val="none" w:sz="0" w:space="0" w:color="auto"/>
          </w:divBdr>
        </w:div>
        <w:div w:id="2022972715">
          <w:marLeft w:val="0"/>
          <w:marRight w:val="0"/>
          <w:marTop w:val="0"/>
          <w:marBottom w:val="0"/>
          <w:divBdr>
            <w:top w:val="none" w:sz="0" w:space="0" w:color="auto"/>
            <w:left w:val="none" w:sz="0" w:space="0" w:color="auto"/>
            <w:bottom w:val="none" w:sz="0" w:space="0" w:color="auto"/>
            <w:right w:val="none" w:sz="0" w:space="0" w:color="auto"/>
          </w:divBdr>
        </w:div>
      </w:divsChild>
    </w:div>
    <w:div w:id="1323463812">
      <w:bodyDiv w:val="1"/>
      <w:marLeft w:val="0"/>
      <w:marRight w:val="0"/>
      <w:marTop w:val="0"/>
      <w:marBottom w:val="0"/>
      <w:divBdr>
        <w:top w:val="none" w:sz="0" w:space="0" w:color="auto"/>
        <w:left w:val="none" w:sz="0" w:space="0" w:color="auto"/>
        <w:bottom w:val="none" w:sz="0" w:space="0" w:color="auto"/>
        <w:right w:val="none" w:sz="0" w:space="0" w:color="auto"/>
      </w:divBdr>
    </w:div>
    <w:div w:id="1324049226">
      <w:bodyDiv w:val="1"/>
      <w:marLeft w:val="0"/>
      <w:marRight w:val="0"/>
      <w:marTop w:val="0"/>
      <w:marBottom w:val="0"/>
      <w:divBdr>
        <w:top w:val="none" w:sz="0" w:space="0" w:color="auto"/>
        <w:left w:val="none" w:sz="0" w:space="0" w:color="auto"/>
        <w:bottom w:val="none" w:sz="0" w:space="0" w:color="auto"/>
        <w:right w:val="none" w:sz="0" w:space="0" w:color="auto"/>
      </w:divBdr>
      <w:divsChild>
        <w:div w:id="95447423">
          <w:marLeft w:val="0"/>
          <w:marRight w:val="0"/>
          <w:marTop w:val="0"/>
          <w:marBottom w:val="0"/>
          <w:divBdr>
            <w:top w:val="none" w:sz="0" w:space="0" w:color="auto"/>
            <w:left w:val="none" w:sz="0" w:space="0" w:color="auto"/>
            <w:bottom w:val="none" w:sz="0" w:space="0" w:color="auto"/>
            <w:right w:val="none" w:sz="0" w:space="0" w:color="auto"/>
          </w:divBdr>
          <w:divsChild>
            <w:div w:id="2043364387">
              <w:marLeft w:val="0"/>
              <w:marRight w:val="0"/>
              <w:marTop w:val="0"/>
              <w:marBottom w:val="0"/>
              <w:divBdr>
                <w:top w:val="none" w:sz="0" w:space="0" w:color="auto"/>
                <w:left w:val="none" w:sz="0" w:space="0" w:color="auto"/>
                <w:bottom w:val="none" w:sz="0" w:space="0" w:color="auto"/>
                <w:right w:val="none" w:sz="0" w:space="0" w:color="auto"/>
              </w:divBdr>
              <w:divsChild>
                <w:div w:id="297225858">
                  <w:marLeft w:val="0"/>
                  <w:marRight w:val="0"/>
                  <w:marTop w:val="0"/>
                  <w:marBottom w:val="0"/>
                  <w:divBdr>
                    <w:top w:val="none" w:sz="0" w:space="0" w:color="auto"/>
                    <w:left w:val="none" w:sz="0" w:space="0" w:color="auto"/>
                    <w:bottom w:val="none" w:sz="0" w:space="0" w:color="auto"/>
                    <w:right w:val="none" w:sz="0" w:space="0" w:color="auto"/>
                  </w:divBdr>
                  <w:divsChild>
                    <w:div w:id="1688022390">
                      <w:marLeft w:val="0"/>
                      <w:marRight w:val="0"/>
                      <w:marTop w:val="0"/>
                      <w:marBottom w:val="0"/>
                      <w:divBdr>
                        <w:top w:val="none" w:sz="0" w:space="0" w:color="auto"/>
                        <w:left w:val="none" w:sz="0" w:space="0" w:color="auto"/>
                        <w:bottom w:val="none" w:sz="0" w:space="0" w:color="auto"/>
                        <w:right w:val="none" w:sz="0" w:space="0" w:color="auto"/>
                      </w:divBdr>
                    </w:div>
                  </w:divsChild>
                </w:div>
                <w:div w:id="17266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2056">
          <w:marLeft w:val="0"/>
          <w:marRight w:val="0"/>
          <w:marTop w:val="0"/>
          <w:marBottom w:val="0"/>
          <w:divBdr>
            <w:top w:val="none" w:sz="0" w:space="0" w:color="auto"/>
            <w:left w:val="none" w:sz="0" w:space="0" w:color="auto"/>
            <w:bottom w:val="none" w:sz="0" w:space="0" w:color="auto"/>
            <w:right w:val="none" w:sz="0" w:space="0" w:color="auto"/>
          </w:divBdr>
          <w:divsChild>
            <w:div w:id="776094979">
              <w:marLeft w:val="0"/>
              <w:marRight w:val="0"/>
              <w:marTop w:val="0"/>
              <w:marBottom w:val="0"/>
              <w:divBdr>
                <w:top w:val="none" w:sz="0" w:space="0" w:color="auto"/>
                <w:left w:val="none" w:sz="0" w:space="0" w:color="auto"/>
                <w:bottom w:val="none" w:sz="0" w:space="0" w:color="auto"/>
                <w:right w:val="none" w:sz="0" w:space="0" w:color="auto"/>
              </w:divBdr>
              <w:divsChild>
                <w:div w:id="1459688864">
                  <w:marLeft w:val="0"/>
                  <w:marRight w:val="0"/>
                  <w:marTop w:val="0"/>
                  <w:marBottom w:val="0"/>
                  <w:divBdr>
                    <w:top w:val="none" w:sz="0" w:space="0" w:color="auto"/>
                    <w:left w:val="none" w:sz="0" w:space="0" w:color="auto"/>
                    <w:bottom w:val="none" w:sz="0" w:space="0" w:color="auto"/>
                    <w:right w:val="none" w:sz="0" w:space="0" w:color="auto"/>
                  </w:divBdr>
                  <w:divsChild>
                    <w:div w:id="7668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061349">
          <w:marLeft w:val="0"/>
          <w:marRight w:val="0"/>
          <w:marTop w:val="0"/>
          <w:marBottom w:val="0"/>
          <w:divBdr>
            <w:top w:val="none" w:sz="0" w:space="0" w:color="auto"/>
            <w:left w:val="none" w:sz="0" w:space="0" w:color="auto"/>
            <w:bottom w:val="none" w:sz="0" w:space="0" w:color="auto"/>
            <w:right w:val="none" w:sz="0" w:space="0" w:color="auto"/>
          </w:divBdr>
          <w:divsChild>
            <w:div w:id="1325662410">
              <w:marLeft w:val="0"/>
              <w:marRight w:val="0"/>
              <w:marTop w:val="0"/>
              <w:marBottom w:val="0"/>
              <w:divBdr>
                <w:top w:val="none" w:sz="0" w:space="0" w:color="auto"/>
                <w:left w:val="none" w:sz="0" w:space="0" w:color="auto"/>
                <w:bottom w:val="none" w:sz="0" w:space="0" w:color="auto"/>
                <w:right w:val="none" w:sz="0" w:space="0" w:color="auto"/>
              </w:divBdr>
            </w:div>
          </w:divsChild>
        </w:div>
        <w:div w:id="1210260971">
          <w:marLeft w:val="0"/>
          <w:marRight w:val="0"/>
          <w:marTop w:val="0"/>
          <w:marBottom w:val="0"/>
          <w:divBdr>
            <w:top w:val="none" w:sz="0" w:space="0" w:color="auto"/>
            <w:left w:val="none" w:sz="0" w:space="0" w:color="auto"/>
            <w:bottom w:val="none" w:sz="0" w:space="0" w:color="auto"/>
            <w:right w:val="none" w:sz="0" w:space="0" w:color="auto"/>
          </w:divBdr>
          <w:divsChild>
            <w:div w:id="1105223509">
              <w:marLeft w:val="0"/>
              <w:marRight w:val="0"/>
              <w:marTop w:val="0"/>
              <w:marBottom w:val="0"/>
              <w:divBdr>
                <w:top w:val="none" w:sz="0" w:space="0" w:color="auto"/>
                <w:left w:val="none" w:sz="0" w:space="0" w:color="auto"/>
                <w:bottom w:val="none" w:sz="0" w:space="0" w:color="auto"/>
                <w:right w:val="none" w:sz="0" w:space="0" w:color="auto"/>
              </w:divBdr>
            </w:div>
            <w:div w:id="1607342574">
              <w:marLeft w:val="0"/>
              <w:marRight w:val="0"/>
              <w:marTop w:val="0"/>
              <w:marBottom w:val="0"/>
              <w:divBdr>
                <w:top w:val="none" w:sz="0" w:space="0" w:color="auto"/>
                <w:left w:val="none" w:sz="0" w:space="0" w:color="auto"/>
                <w:bottom w:val="none" w:sz="0" w:space="0" w:color="auto"/>
                <w:right w:val="none" w:sz="0" w:space="0" w:color="auto"/>
              </w:divBdr>
            </w:div>
            <w:div w:id="1673335582">
              <w:marLeft w:val="0"/>
              <w:marRight w:val="0"/>
              <w:marTop w:val="0"/>
              <w:marBottom w:val="0"/>
              <w:divBdr>
                <w:top w:val="none" w:sz="0" w:space="0" w:color="auto"/>
                <w:left w:val="none" w:sz="0" w:space="0" w:color="auto"/>
                <w:bottom w:val="none" w:sz="0" w:space="0" w:color="auto"/>
                <w:right w:val="none" w:sz="0" w:space="0" w:color="auto"/>
              </w:divBdr>
            </w:div>
            <w:div w:id="2102599040">
              <w:marLeft w:val="0"/>
              <w:marRight w:val="0"/>
              <w:marTop w:val="0"/>
              <w:marBottom w:val="0"/>
              <w:divBdr>
                <w:top w:val="none" w:sz="0" w:space="0" w:color="auto"/>
                <w:left w:val="none" w:sz="0" w:space="0" w:color="auto"/>
                <w:bottom w:val="none" w:sz="0" w:space="0" w:color="auto"/>
                <w:right w:val="none" w:sz="0" w:space="0" w:color="auto"/>
              </w:divBdr>
            </w:div>
          </w:divsChild>
        </w:div>
        <w:div w:id="1625230039">
          <w:marLeft w:val="0"/>
          <w:marRight w:val="0"/>
          <w:marTop w:val="0"/>
          <w:marBottom w:val="0"/>
          <w:divBdr>
            <w:top w:val="none" w:sz="0" w:space="0" w:color="auto"/>
            <w:left w:val="none" w:sz="0" w:space="0" w:color="auto"/>
            <w:bottom w:val="none" w:sz="0" w:space="0" w:color="auto"/>
            <w:right w:val="none" w:sz="0" w:space="0" w:color="auto"/>
          </w:divBdr>
        </w:div>
      </w:divsChild>
    </w:div>
    <w:div w:id="1328560478">
      <w:bodyDiv w:val="1"/>
      <w:marLeft w:val="0"/>
      <w:marRight w:val="0"/>
      <w:marTop w:val="0"/>
      <w:marBottom w:val="0"/>
      <w:divBdr>
        <w:top w:val="none" w:sz="0" w:space="0" w:color="auto"/>
        <w:left w:val="none" w:sz="0" w:space="0" w:color="auto"/>
        <w:bottom w:val="none" w:sz="0" w:space="0" w:color="auto"/>
        <w:right w:val="none" w:sz="0" w:space="0" w:color="auto"/>
      </w:divBdr>
    </w:div>
    <w:div w:id="1328707922">
      <w:bodyDiv w:val="1"/>
      <w:marLeft w:val="0"/>
      <w:marRight w:val="0"/>
      <w:marTop w:val="0"/>
      <w:marBottom w:val="0"/>
      <w:divBdr>
        <w:top w:val="none" w:sz="0" w:space="0" w:color="auto"/>
        <w:left w:val="none" w:sz="0" w:space="0" w:color="auto"/>
        <w:bottom w:val="none" w:sz="0" w:space="0" w:color="auto"/>
        <w:right w:val="none" w:sz="0" w:space="0" w:color="auto"/>
      </w:divBdr>
      <w:divsChild>
        <w:div w:id="1311793117">
          <w:marLeft w:val="0"/>
          <w:marRight w:val="0"/>
          <w:marTop w:val="0"/>
          <w:marBottom w:val="0"/>
          <w:divBdr>
            <w:top w:val="none" w:sz="0" w:space="0" w:color="auto"/>
            <w:left w:val="none" w:sz="0" w:space="0" w:color="auto"/>
            <w:bottom w:val="none" w:sz="0" w:space="0" w:color="auto"/>
            <w:right w:val="none" w:sz="0" w:space="0" w:color="auto"/>
          </w:divBdr>
        </w:div>
      </w:divsChild>
    </w:div>
    <w:div w:id="1330057964">
      <w:bodyDiv w:val="1"/>
      <w:marLeft w:val="0"/>
      <w:marRight w:val="0"/>
      <w:marTop w:val="0"/>
      <w:marBottom w:val="0"/>
      <w:divBdr>
        <w:top w:val="none" w:sz="0" w:space="0" w:color="auto"/>
        <w:left w:val="none" w:sz="0" w:space="0" w:color="auto"/>
        <w:bottom w:val="none" w:sz="0" w:space="0" w:color="auto"/>
        <w:right w:val="none" w:sz="0" w:space="0" w:color="auto"/>
      </w:divBdr>
    </w:div>
    <w:div w:id="1335258492">
      <w:bodyDiv w:val="1"/>
      <w:marLeft w:val="0"/>
      <w:marRight w:val="0"/>
      <w:marTop w:val="0"/>
      <w:marBottom w:val="0"/>
      <w:divBdr>
        <w:top w:val="none" w:sz="0" w:space="0" w:color="auto"/>
        <w:left w:val="none" w:sz="0" w:space="0" w:color="auto"/>
        <w:bottom w:val="none" w:sz="0" w:space="0" w:color="auto"/>
        <w:right w:val="none" w:sz="0" w:space="0" w:color="auto"/>
      </w:divBdr>
    </w:div>
    <w:div w:id="1336541606">
      <w:bodyDiv w:val="1"/>
      <w:marLeft w:val="0"/>
      <w:marRight w:val="0"/>
      <w:marTop w:val="0"/>
      <w:marBottom w:val="0"/>
      <w:divBdr>
        <w:top w:val="none" w:sz="0" w:space="0" w:color="auto"/>
        <w:left w:val="none" w:sz="0" w:space="0" w:color="auto"/>
        <w:bottom w:val="none" w:sz="0" w:space="0" w:color="auto"/>
        <w:right w:val="none" w:sz="0" w:space="0" w:color="auto"/>
      </w:divBdr>
    </w:div>
    <w:div w:id="1338114137">
      <w:bodyDiv w:val="1"/>
      <w:marLeft w:val="0"/>
      <w:marRight w:val="0"/>
      <w:marTop w:val="0"/>
      <w:marBottom w:val="0"/>
      <w:divBdr>
        <w:top w:val="none" w:sz="0" w:space="0" w:color="auto"/>
        <w:left w:val="none" w:sz="0" w:space="0" w:color="auto"/>
        <w:bottom w:val="none" w:sz="0" w:space="0" w:color="auto"/>
        <w:right w:val="none" w:sz="0" w:space="0" w:color="auto"/>
      </w:divBdr>
    </w:div>
    <w:div w:id="1339111986">
      <w:bodyDiv w:val="1"/>
      <w:marLeft w:val="0"/>
      <w:marRight w:val="0"/>
      <w:marTop w:val="0"/>
      <w:marBottom w:val="0"/>
      <w:divBdr>
        <w:top w:val="none" w:sz="0" w:space="0" w:color="auto"/>
        <w:left w:val="none" w:sz="0" w:space="0" w:color="auto"/>
        <w:bottom w:val="none" w:sz="0" w:space="0" w:color="auto"/>
        <w:right w:val="none" w:sz="0" w:space="0" w:color="auto"/>
      </w:divBdr>
    </w:div>
    <w:div w:id="1339312691">
      <w:bodyDiv w:val="1"/>
      <w:marLeft w:val="0"/>
      <w:marRight w:val="0"/>
      <w:marTop w:val="0"/>
      <w:marBottom w:val="0"/>
      <w:divBdr>
        <w:top w:val="none" w:sz="0" w:space="0" w:color="auto"/>
        <w:left w:val="none" w:sz="0" w:space="0" w:color="auto"/>
        <w:bottom w:val="none" w:sz="0" w:space="0" w:color="auto"/>
        <w:right w:val="none" w:sz="0" w:space="0" w:color="auto"/>
      </w:divBdr>
    </w:div>
    <w:div w:id="1339653166">
      <w:bodyDiv w:val="1"/>
      <w:marLeft w:val="0"/>
      <w:marRight w:val="0"/>
      <w:marTop w:val="0"/>
      <w:marBottom w:val="0"/>
      <w:divBdr>
        <w:top w:val="none" w:sz="0" w:space="0" w:color="auto"/>
        <w:left w:val="none" w:sz="0" w:space="0" w:color="auto"/>
        <w:bottom w:val="none" w:sz="0" w:space="0" w:color="auto"/>
        <w:right w:val="none" w:sz="0" w:space="0" w:color="auto"/>
      </w:divBdr>
    </w:div>
    <w:div w:id="1351762836">
      <w:bodyDiv w:val="1"/>
      <w:marLeft w:val="0"/>
      <w:marRight w:val="0"/>
      <w:marTop w:val="0"/>
      <w:marBottom w:val="0"/>
      <w:divBdr>
        <w:top w:val="none" w:sz="0" w:space="0" w:color="auto"/>
        <w:left w:val="none" w:sz="0" w:space="0" w:color="auto"/>
        <w:bottom w:val="none" w:sz="0" w:space="0" w:color="auto"/>
        <w:right w:val="none" w:sz="0" w:space="0" w:color="auto"/>
      </w:divBdr>
    </w:div>
    <w:div w:id="1363357940">
      <w:bodyDiv w:val="1"/>
      <w:marLeft w:val="0"/>
      <w:marRight w:val="0"/>
      <w:marTop w:val="0"/>
      <w:marBottom w:val="0"/>
      <w:divBdr>
        <w:top w:val="none" w:sz="0" w:space="0" w:color="auto"/>
        <w:left w:val="none" w:sz="0" w:space="0" w:color="auto"/>
        <w:bottom w:val="none" w:sz="0" w:space="0" w:color="auto"/>
        <w:right w:val="none" w:sz="0" w:space="0" w:color="auto"/>
      </w:divBdr>
    </w:div>
    <w:div w:id="1363901724">
      <w:bodyDiv w:val="1"/>
      <w:marLeft w:val="0"/>
      <w:marRight w:val="0"/>
      <w:marTop w:val="0"/>
      <w:marBottom w:val="0"/>
      <w:divBdr>
        <w:top w:val="none" w:sz="0" w:space="0" w:color="auto"/>
        <w:left w:val="none" w:sz="0" w:space="0" w:color="auto"/>
        <w:bottom w:val="none" w:sz="0" w:space="0" w:color="auto"/>
        <w:right w:val="none" w:sz="0" w:space="0" w:color="auto"/>
      </w:divBdr>
    </w:div>
    <w:div w:id="1364554789">
      <w:bodyDiv w:val="1"/>
      <w:marLeft w:val="0"/>
      <w:marRight w:val="0"/>
      <w:marTop w:val="0"/>
      <w:marBottom w:val="0"/>
      <w:divBdr>
        <w:top w:val="none" w:sz="0" w:space="0" w:color="auto"/>
        <w:left w:val="none" w:sz="0" w:space="0" w:color="auto"/>
        <w:bottom w:val="none" w:sz="0" w:space="0" w:color="auto"/>
        <w:right w:val="none" w:sz="0" w:space="0" w:color="auto"/>
      </w:divBdr>
    </w:div>
    <w:div w:id="1366246659">
      <w:bodyDiv w:val="1"/>
      <w:marLeft w:val="0"/>
      <w:marRight w:val="0"/>
      <w:marTop w:val="0"/>
      <w:marBottom w:val="0"/>
      <w:divBdr>
        <w:top w:val="none" w:sz="0" w:space="0" w:color="auto"/>
        <w:left w:val="none" w:sz="0" w:space="0" w:color="auto"/>
        <w:bottom w:val="none" w:sz="0" w:space="0" w:color="auto"/>
        <w:right w:val="none" w:sz="0" w:space="0" w:color="auto"/>
      </w:divBdr>
    </w:div>
    <w:div w:id="1367294368">
      <w:bodyDiv w:val="1"/>
      <w:marLeft w:val="0"/>
      <w:marRight w:val="0"/>
      <w:marTop w:val="0"/>
      <w:marBottom w:val="0"/>
      <w:divBdr>
        <w:top w:val="none" w:sz="0" w:space="0" w:color="auto"/>
        <w:left w:val="none" w:sz="0" w:space="0" w:color="auto"/>
        <w:bottom w:val="none" w:sz="0" w:space="0" w:color="auto"/>
        <w:right w:val="none" w:sz="0" w:space="0" w:color="auto"/>
      </w:divBdr>
    </w:div>
    <w:div w:id="1372998514">
      <w:bodyDiv w:val="1"/>
      <w:marLeft w:val="0"/>
      <w:marRight w:val="0"/>
      <w:marTop w:val="0"/>
      <w:marBottom w:val="0"/>
      <w:divBdr>
        <w:top w:val="none" w:sz="0" w:space="0" w:color="auto"/>
        <w:left w:val="none" w:sz="0" w:space="0" w:color="auto"/>
        <w:bottom w:val="none" w:sz="0" w:space="0" w:color="auto"/>
        <w:right w:val="none" w:sz="0" w:space="0" w:color="auto"/>
      </w:divBdr>
    </w:div>
    <w:div w:id="1375078157">
      <w:bodyDiv w:val="1"/>
      <w:marLeft w:val="0"/>
      <w:marRight w:val="0"/>
      <w:marTop w:val="0"/>
      <w:marBottom w:val="0"/>
      <w:divBdr>
        <w:top w:val="none" w:sz="0" w:space="0" w:color="auto"/>
        <w:left w:val="none" w:sz="0" w:space="0" w:color="auto"/>
        <w:bottom w:val="none" w:sz="0" w:space="0" w:color="auto"/>
        <w:right w:val="none" w:sz="0" w:space="0" w:color="auto"/>
      </w:divBdr>
      <w:divsChild>
        <w:div w:id="15466621">
          <w:marLeft w:val="0"/>
          <w:marRight w:val="0"/>
          <w:marTop w:val="0"/>
          <w:marBottom w:val="0"/>
          <w:divBdr>
            <w:top w:val="none" w:sz="0" w:space="0" w:color="auto"/>
            <w:left w:val="none" w:sz="0" w:space="0" w:color="auto"/>
            <w:bottom w:val="none" w:sz="0" w:space="0" w:color="auto"/>
            <w:right w:val="none" w:sz="0" w:space="0" w:color="auto"/>
          </w:divBdr>
        </w:div>
        <w:div w:id="500000354">
          <w:marLeft w:val="0"/>
          <w:marRight w:val="0"/>
          <w:marTop w:val="0"/>
          <w:marBottom w:val="0"/>
          <w:divBdr>
            <w:top w:val="none" w:sz="0" w:space="0" w:color="auto"/>
            <w:left w:val="none" w:sz="0" w:space="0" w:color="auto"/>
            <w:bottom w:val="none" w:sz="0" w:space="0" w:color="auto"/>
            <w:right w:val="none" w:sz="0" w:space="0" w:color="auto"/>
          </w:divBdr>
        </w:div>
        <w:div w:id="716275227">
          <w:marLeft w:val="0"/>
          <w:marRight w:val="0"/>
          <w:marTop w:val="0"/>
          <w:marBottom w:val="0"/>
          <w:divBdr>
            <w:top w:val="none" w:sz="0" w:space="0" w:color="auto"/>
            <w:left w:val="none" w:sz="0" w:space="0" w:color="auto"/>
            <w:bottom w:val="none" w:sz="0" w:space="0" w:color="auto"/>
            <w:right w:val="none" w:sz="0" w:space="0" w:color="auto"/>
          </w:divBdr>
        </w:div>
        <w:div w:id="980883583">
          <w:marLeft w:val="0"/>
          <w:marRight w:val="0"/>
          <w:marTop w:val="0"/>
          <w:marBottom w:val="0"/>
          <w:divBdr>
            <w:top w:val="none" w:sz="0" w:space="0" w:color="auto"/>
            <w:left w:val="none" w:sz="0" w:space="0" w:color="auto"/>
            <w:bottom w:val="none" w:sz="0" w:space="0" w:color="auto"/>
            <w:right w:val="none" w:sz="0" w:space="0" w:color="auto"/>
          </w:divBdr>
        </w:div>
        <w:div w:id="1026059350">
          <w:marLeft w:val="0"/>
          <w:marRight w:val="0"/>
          <w:marTop w:val="0"/>
          <w:marBottom w:val="0"/>
          <w:divBdr>
            <w:top w:val="none" w:sz="0" w:space="0" w:color="auto"/>
            <w:left w:val="none" w:sz="0" w:space="0" w:color="auto"/>
            <w:bottom w:val="none" w:sz="0" w:space="0" w:color="auto"/>
            <w:right w:val="none" w:sz="0" w:space="0" w:color="auto"/>
          </w:divBdr>
        </w:div>
        <w:div w:id="1029183804">
          <w:marLeft w:val="0"/>
          <w:marRight w:val="0"/>
          <w:marTop w:val="0"/>
          <w:marBottom w:val="0"/>
          <w:divBdr>
            <w:top w:val="none" w:sz="0" w:space="0" w:color="auto"/>
            <w:left w:val="none" w:sz="0" w:space="0" w:color="auto"/>
            <w:bottom w:val="none" w:sz="0" w:space="0" w:color="auto"/>
            <w:right w:val="none" w:sz="0" w:space="0" w:color="auto"/>
          </w:divBdr>
        </w:div>
        <w:div w:id="1166625775">
          <w:marLeft w:val="0"/>
          <w:marRight w:val="0"/>
          <w:marTop w:val="0"/>
          <w:marBottom w:val="0"/>
          <w:divBdr>
            <w:top w:val="none" w:sz="0" w:space="0" w:color="auto"/>
            <w:left w:val="none" w:sz="0" w:space="0" w:color="auto"/>
            <w:bottom w:val="none" w:sz="0" w:space="0" w:color="auto"/>
            <w:right w:val="none" w:sz="0" w:space="0" w:color="auto"/>
          </w:divBdr>
        </w:div>
        <w:div w:id="1236622269">
          <w:marLeft w:val="0"/>
          <w:marRight w:val="0"/>
          <w:marTop w:val="0"/>
          <w:marBottom w:val="0"/>
          <w:divBdr>
            <w:top w:val="none" w:sz="0" w:space="0" w:color="auto"/>
            <w:left w:val="none" w:sz="0" w:space="0" w:color="auto"/>
            <w:bottom w:val="none" w:sz="0" w:space="0" w:color="auto"/>
            <w:right w:val="none" w:sz="0" w:space="0" w:color="auto"/>
          </w:divBdr>
        </w:div>
        <w:div w:id="1391080640">
          <w:marLeft w:val="0"/>
          <w:marRight w:val="0"/>
          <w:marTop w:val="0"/>
          <w:marBottom w:val="0"/>
          <w:divBdr>
            <w:top w:val="none" w:sz="0" w:space="0" w:color="auto"/>
            <w:left w:val="none" w:sz="0" w:space="0" w:color="auto"/>
            <w:bottom w:val="none" w:sz="0" w:space="0" w:color="auto"/>
            <w:right w:val="none" w:sz="0" w:space="0" w:color="auto"/>
          </w:divBdr>
        </w:div>
        <w:div w:id="1447114429">
          <w:marLeft w:val="0"/>
          <w:marRight w:val="0"/>
          <w:marTop w:val="0"/>
          <w:marBottom w:val="0"/>
          <w:divBdr>
            <w:top w:val="none" w:sz="0" w:space="0" w:color="auto"/>
            <w:left w:val="none" w:sz="0" w:space="0" w:color="auto"/>
            <w:bottom w:val="none" w:sz="0" w:space="0" w:color="auto"/>
            <w:right w:val="none" w:sz="0" w:space="0" w:color="auto"/>
          </w:divBdr>
        </w:div>
        <w:div w:id="1747260259">
          <w:marLeft w:val="0"/>
          <w:marRight w:val="0"/>
          <w:marTop w:val="0"/>
          <w:marBottom w:val="0"/>
          <w:divBdr>
            <w:top w:val="none" w:sz="0" w:space="0" w:color="auto"/>
            <w:left w:val="none" w:sz="0" w:space="0" w:color="auto"/>
            <w:bottom w:val="none" w:sz="0" w:space="0" w:color="auto"/>
            <w:right w:val="none" w:sz="0" w:space="0" w:color="auto"/>
          </w:divBdr>
        </w:div>
        <w:div w:id="1915355519">
          <w:marLeft w:val="0"/>
          <w:marRight w:val="0"/>
          <w:marTop w:val="0"/>
          <w:marBottom w:val="0"/>
          <w:divBdr>
            <w:top w:val="none" w:sz="0" w:space="0" w:color="auto"/>
            <w:left w:val="none" w:sz="0" w:space="0" w:color="auto"/>
            <w:bottom w:val="none" w:sz="0" w:space="0" w:color="auto"/>
            <w:right w:val="none" w:sz="0" w:space="0" w:color="auto"/>
          </w:divBdr>
        </w:div>
        <w:div w:id="1982147936">
          <w:marLeft w:val="0"/>
          <w:marRight w:val="0"/>
          <w:marTop w:val="0"/>
          <w:marBottom w:val="0"/>
          <w:divBdr>
            <w:top w:val="none" w:sz="0" w:space="0" w:color="auto"/>
            <w:left w:val="none" w:sz="0" w:space="0" w:color="auto"/>
            <w:bottom w:val="none" w:sz="0" w:space="0" w:color="auto"/>
            <w:right w:val="none" w:sz="0" w:space="0" w:color="auto"/>
          </w:divBdr>
        </w:div>
      </w:divsChild>
    </w:div>
    <w:div w:id="1376925368">
      <w:bodyDiv w:val="1"/>
      <w:marLeft w:val="0"/>
      <w:marRight w:val="0"/>
      <w:marTop w:val="0"/>
      <w:marBottom w:val="0"/>
      <w:divBdr>
        <w:top w:val="none" w:sz="0" w:space="0" w:color="auto"/>
        <w:left w:val="none" w:sz="0" w:space="0" w:color="auto"/>
        <w:bottom w:val="none" w:sz="0" w:space="0" w:color="auto"/>
        <w:right w:val="none" w:sz="0" w:space="0" w:color="auto"/>
      </w:divBdr>
    </w:div>
    <w:div w:id="1380011908">
      <w:bodyDiv w:val="1"/>
      <w:marLeft w:val="0"/>
      <w:marRight w:val="0"/>
      <w:marTop w:val="0"/>
      <w:marBottom w:val="0"/>
      <w:divBdr>
        <w:top w:val="none" w:sz="0" w:space="0" w:color="auto"/>
        <w:left w:val="none" w:sz="0" w:space="0" w:color="auto"/>
        <w:bottom w:val="none" w:sz="0" w:space="0" w:color="auto"/>
        <w:right w:val="none" w:sz="0" w:space="0" w:color="auto"/>
      </w:divBdr>
      <w:divsChild>
        <w:div w:id="1655180203">
          <w:marLeft w:val="0"/>
          <w:marRight w:val="0"/>
          <w:marTop w:val="0"/>
          <w:marBottom w:val="0"/>
          <w:divBdr>
            <w:top w:val="none" w:sz="0" w:space="0" w:color="auto"/>
            <w:left w:val="none" w:sz="0" w:space="0" w:color="auto"/>
            <w:bottom w:val="none" w:sz="0" w:space="0" w:color="auto"/>
            <w:right w:val="none" w:sz="0" w:space="0" w:color="auto"/>
          </w:divBdr>
          <w:divsChild>
            <w:div w:id="712852274">
              <w:marLeft w:val="0"/>
              <w:marRight w:val="0"/>
              <w:marTop w:val="0"/>
              <w:marBottom w:val="0"/>
              <w:divBdr>
                <w:top w:val="none" w:sz="0" w:space="0" w:color="auto"/>
                <w:left w:val="none" w:sz="0" w:space="0" w:color="auto"/>
                <w:bottom w:val="none" w:sz="0" w:space="0" w:color="auto"/>
                <w:right w:val="none" w:sz="0" w:space="0" w:color="auto"/>
              </w:divBdr>
              <w:divsChild>
                <w:div w:id="1788769189">
                  <w:marLeft w:val="0"/>
                  <w:marRight w:val="0"/>
                  <w:marTop w:val="0"/>
                  <w:marBottom w:val="0"/>
                  <w:divBdr>
                    <w:top w:val="none" w:sz="0" w:space="0" w:color="auto"/>
                    <w:left w:val="none" w:sz="0" w:space="0" w:color="auto"/>
                    <w:bottom w:val="none" w:sz="0" w:space="0" w:color="auto"/>
                    <w:right w:val="none" w:sz="0" w:space="0" w:color="auto"/>
                  </w:divBdr>
                  <w:divsChild>
                    <w:div w:id="643587548">
                      <w:marLeft w:val="0"/>
                      <w:marRight w:val="0"/>
                      <w:marTop w:val="0"/>
                      <w:marBottom w:val="0"/>
                      <w:divBdr>
                        <w:top w:val="none" w:sz="0" w:space="0" w:color="auto"/>
                        <w:left w:val="none" w:sz="0" w:space="0" w:color="auto"/>
                        <w:bottom w:val="none" w:sz="0" w:space="0" w:color="auto"/>
                        <w:right w:val="none" w:sz="0" w:space="0" w:color="auto"/>
                      </w:divBdr>
                      <w:divsChild>
                        <w:div w:id="2060547518">
                          <w:marLeft w:val="0"/>
                          <w:marRight w:val="0"/>
                          <w:marTop w:val="0"/>
                          <w:marBottom w:val="0"/>
                          <w:divBdr>
                            <w:top w:val="none" w:sz="0" w:space="0" w:color="auto"/>
                            <w:left w:val="none" w:sz="0" w:space="0" w:color="auto"/>
                            <w:bottom w:val="none" w:sz="0" w:space="0" w:color="auto"/>
                            <w:right w:val="none" w:sz="0" w:space="0" w:color="auto"/>
                          </w:divBdr>
                          <w:divsChild>
                            <w:div w:id="208418229">
                              <w:marLeft w:val="0"/>
                              <w:marRight w:val="0"/>
                              <w:marTop w:val="0"/>
                              <w:marBottom w:val="0"/>
                              <w:divBdr>
                                <w:top w:val="none" w:sz="0" w:space="0" w:color="auto"/>
                                <w:left w:val="none" w:sz="0" w:space="0" w:color="auto"/>
                                <w:bottom w:val="none" w:sz="0" w:space="0" w:color="auto"/>
                                <w:right w:val="none" w:sz="0" w:space="0" w:color="auto"/>
                              </w:divBdr>
                              <w:divsChild>
                                <w:div w:id="1026373146">
                                  <w:marLeft w:val="0"/>
                                  <w:marRight w:val="0"/>
                                  <w:marTop w:val="0"/>
                                  <w:marBottom w:val="0"/>
                                  <w:divBdr>
                                    <w:top w:val="none" w:sz="0" w:space="0" w:color="auto"/>
                                    <w:left w:val="none" w:sz="0" w:space="0" w:color="auto"/>
                                    <w:bottom w:val="none" w:sz="0" w:space="0" w:color="auto"/>
                                    <w:right w:val="none" w:sz="0" w:space="0" w:color="auto"/>
                                  </w:divBdr>
                                  <w:divsChild>
                                    <w:div w:id="4831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884193">
          <w:marLeft w:val="0"/>
          <w:marRight w:val="0"/>
          <w:marTop w:val="90"/>
          <w:marBottom w:val="0"/>
          <w:divBdr>
            <w:top w:val="none" w:sz="0" w:space="0" w:color="auto"/>
            <w:left w:val="none" w:sz="0" w:space="0" w:color="auto"/>
            <w:bottom w:val="none" w:sz="0" w:space="0" w:color="auto"/>
            <w:right w:val="none" w:sz="0" w:space="0" w:color="auto"/>
          </w:divBdr>
          <w:divsChild>
            <w:div w:id="68420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13123">
      <w:bodyDiv w:val="1"/>
      <w:marLeft w:val="0"/>
      <w:marRight w:val="0"/>
      <w:marTop w:val="0"/>
      <w:marBottom w:val="0"/>
      <w:divBdr>
        <w:top w:val="none" w:sz="0" w:space="0" w:color="auto"/>
        <w:left w:val="none" w:sz="0" w:space="0" w:color="auto"/>
        <w:bottom w:val="none" w:sz="0" w:space="0" w:color="auto"/>
        <w:right w:val="none" w:sz="0" w:space="0" w:color="auto"/>
      </w:divBdr>
      <w:divsChild>
        <w:div w:id="1420759249">
          <w:marLeft w:val="0"/>
          <w:marRight w:val="0"/>
          <w:marTop w:val="0"/>
          <w:marBottom w:val="0"/>
          <w:divBdr>
            <w:top w:val="none" w:sz="0" w:space="0" w:color="auto"/>
            <w:left w:val="none" w:sz="0" w:space="0" w:color="auto"/>
            <w:bottom w:val="none" w:sz="0" w:space="0" w:color="auto"/>
            <w:right w:val="none" w:sz="0" w:space="0" w:color="auto"/>
          </w:divBdr>
          <w:divsChild>
            <w:div w:id="976448889">
              <w:marLeft w:val="0"/>
              <w:marRight w:val="0"/>
              <w:marTop w:val="0"/>
              <w:marBottom w:val="0"/>
              <w:divBdr>
                <w:top w:val="none" w:sz="0" w:space="0" w:color="auto"/>
                <w:left w:val="none" w:sz="0" w:space="0" w:color="auto"/>
                <w:bottom w:val="none" w:sz="0" w:space="0" w:color="auto"/>
                <w:right w:val="none" w:sz="0" w:space="0" w:color="auto"/>
              </w:divBdr>
            </w:div>
          </w:divsChild>
        </w:div>
        <w:div w:id="566692226">
          <w:marLeft w:val="0"/>
          <w:marRight w:val="0"/>
          <w:marTop w:val="0"/>
          <w:marBottom w:val="0"/>
          <w:divBdr>
            <w:top w:val="none" w:sz="0" w:space="0" w:color="auto"/>
            <w:left w:val="none" w:sz="0" w:space="0" w:color="auto"/>
            <w:bottom w:val="none" w:sz="0" w:space="0" w:color="auto"/>
            <w:right w:val="none" w:sz="0" w:space="0" w:color="auto"/>
          </w:divBdr>
          <w:divsChild>
            <w:div w:id="6674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10693">
      <w:bodyDiv w:val="1"/>
      <w:marLeft w:val="0"/>
      <w:marRight w:val="0"/>
      <w:marTop w:val="0"/>
      <w:marBottom w:val="0"/>
      <w:divBdr>
        <w:top w:val="none" w:sz="0" w:space="0" w:color="auto"/>
        <w:left w:val="none" w:sz="0" w:space="0" w:color="auto"/>
        <w:bottom w:val="none" w:sz="0" w:space="0" w:color="auto"/>
        <w:right w:val="none" w:sz="0" w:space="0" w:color="auto"/>
      </w:divBdr>
    </w:div>
    <w:div w:id="1392272291">
      <w:bodyDiv w:val="1"/>
      <w:marLeft w:val="0"/>
      <w:marRight w:val="0"/>
      <w:marTop w:val="0"/>
      <w:marBottom w:val="0"/>
      <w:divBdr>
        <w:top w:val="none" w:sz="0" w:space="0" w:color="auto"/>
        <w:left w:val="none" w:sz="0" w:space="0" w:color="auto"/>
        <w:bottom w:val="none" w:sz="0" w:space="0" w:color="auto"/>
        <w:right w:val="none" w:sz="0" w:space="0" w:color="auto"/>
      </w:divBdr>
      <w:divsChild>
        <w:div w:id="1235552572">
          <w:marLeft w:val="0"/>
          <w:marRight w:val="0"/>
          <w:marTop w:val="0"/>
          <w:marBottom w:val="0"/>
          <w:divBdr>
            <w:top w:val="none" w:sz="0" w:space="0" w:color="auto"/>
            <w:left w:val="none" w:sz="0" w:space="0" w:color="auto"/>
            <w:bottom w:val="none" w:sz="0" w:space="0" w:color="auto"/>
            <w:right w:val="none" w:sz="0" w:space="0" w:color="auto"/>
          </w:divBdr>
        </w:div>
        <w:div w:id="2002080612">
          <w:marLeft w:val="0"/>
          <w:marRight w:val="0"/>
          <w:marTop w:val="0"/>
          <w:marBottom w:val="0"/>
          <w:divBdr>
            <w:top w:val="none" w:sz="0" w:space="0" w:color="auto"/>
            <w:left w:val="none" w:sz="0" w:space="0" w:color="auto"/>
            <w:bottom w:val="none" w:sz="0" w:space="0" w:color="auto"/>
            <w:right w:val="none" w:sz="0" w:space="0" w:color="auto"/>
          </w:divBdr>
        </w:div>
      </w:divsChild>
    </w:div>
    <w:div w:id="1393498773">
      <w:bodyDiv w:val="1"/>
      <w:marLeft w:val="0"/>
      <w:marRight w:val="0"/>
      <w:marTop w:val="0"/>
      <w:marBottom w:val="0"/>
      <w:divBdr>
        <w:top w:val="none" w:sz="0" w:space="0" w:color="auto"/>
        <w:left w:val="none" w:sz="0" w:space="0" w:color="auto"/>
        <w:bottom w:val="none" w:sz="0" w:space="0" w:color="auto"/>
        <w:right w:val="none" w:sz="0" w:space="0" w:color="auto"/>
      </w:divBdr>
    </w:div>
    <w:div w:id="1393653839">
      <w:bodyDiv w:val="1"/>
      <w:marLeft w:val="0"/>
      <w:marRight w:val="0"/>
      <w:marTop w:val="0"/>
      <w:marBottom w:val="0"/>
      <w:divBdr>
        <w:top w:val="none" w:sz="0" w:space="0" w:color="auto"/>
        <w:left w:val="none" w:sz="0" w:space="0" w:color="auto"/>
        <w:bottom w:val="none" w:sz="0" w:space="0" w:color="auto"/>
        <w:right w:val="none" w:sz="0" w:space="0" w:color="auto"/>
      </w:divBdr>
    </w:div>
    <w:div w:id="1402555889">
      <w:bodyDiv w:val="1"/>
      <w:marLeft w:val="0"/>
      <w:marRight w:val="0"/>
      <w:marTop w:val="0"/>
      <w:marBottom w:val="0"/>
      <w:divBdr>
        <w:top w:val="none" w:sz="0" w:space="0" w:color="auto"/>
        <w:left w:val="none" w:sz="0" w:space="0" w:color="auto"/>
        <w:bottom w:val="none" w:sz="0" w:space="0" w:color="auto"/>
        <w:right w:val="none" w:sz="0" w:space="0" w:color="auto"/>
      </w:divBdr>
    </w:div>
    <w:div w:id="1403678632">
      <w:bodyDiv w:val="1"/>
      <w:marLeft w:val="0"/>
      <w:marRight w:val="0"/>
      <w:marTop w:val="0"/>
      <w:marBottom w:val="0"/>
      <w:divBdr>
        <w:top w:val="none" w:sz="0" w:space="0" w:color="auto"/>
        <w:left w:val="none" w:sz="0" w:space="0" w:color="auto"/>
        <w:bottom w:val="none" w:sz="0" w:space="0" w:color="auto"/>
        <w:right w:val="none" w:sz="0" w:space="0" w:color="auto"/>
      </w:divBdr>
      <w:divsChild>
        <w:div w:id="202443425">
          <w:marLeft w:val="0"/>
          <w:marRight w:val="0"/>
          <w:marTop w:val="0"/>
          <w:marBottom w:val="0"/>
          <w:divBdr>
            <w:top w:val="none" w:sz="0" w:space="0" w:color="auto"/>
            <w:left w:val="none" w:sz="0" w:space="0" w:color="auto"/>
            <w:bottom w:val="none" w:sz="0" w:space="0" w:color="auto"/>
            <w:right w:val="none" w:sz="0" w:space="0" w:color="auto"/>
          </w:divBdr>
        </w:div>
        <w:div w:id="1223054270">
          <w:marLeft w:val="0"/>
          <w:marRight w:val="0"/>
          <w:marTop w:val="0"/>
          <w:marBottom w:val="0"/>
          <w:divBdr>
            <w:top w:val="none" w:sz="0" w:space="0" w:color="auto"/>
            <w:left w:val="none" w:sz="0" w:space="0" w:color="auto"/>
            <w:bottom w:val="none" w:sz="0" w:space="0" w:color="auto"/>
            <w:right w:val="none" w:sz="0" w:space="0" w:color="auto"/>
          </w:divBdr>
        </w:div>
      </w:divsChild>
    </w:div>
    <w:div w:id="1408306080">
      <w:bodyDiv w:val="1"/>
      <w:marLeft w:val="0"/>
      <w:marRight w:val="0"/>
      <w:marTop w:val="0"/>
      <w:marBottom w:val="0"/>
      <w:divBdr>
        <w:top w:val="none" w:sz="0" w:space="0" w:color="auto"/>
        <w:left w:val="none" w:sz="0" w:space="0" w:color="auto"/>
        <w:bottom w:val="none" w:sz="0" w:space="0" w:color="auto"/>
        <w:right w:val="none" w:sz="0" w:space="0" w:color="auto"/>
      </w:divBdr>
    </w:div>
    <w:div w:id="1410613559">
      <w:bodyDiv w:val="1"/>
      <w:marLeft w:val="0"/>
      <w:marRight w:val="0"/>
      <w:marTop w:val="0"/>
      <w:marBottom w:val="0"/>
      <w:divBdr>
        <w:top w:val="none" w:sz="0" w:space="0" w:color="auto"/>
        <w:left w:val="none" w:sz="0" w:space="0" w:color="auto"/>
        <w:bottom w:val="none" w:sz="0" w:space="0" w:color="auto"/>
        <w:right w:val="none" w:sz="0" w:space="0" w:color="auto"/>
      </w:divBdr>
    </w:div>
    <w:div w:id="1410734323">
      <w:bodyDiv w:val="1"/>
      <w:marLeft w:val="0"/>
      <w:marRight w:val="0"/>
      <w:marTop w:val="0"/>
      <w:marBottom w:val="0"/>
      <w:divBdr>
        <w:top w:val="none" w:sz="0" w:space="0" w:color="auto"/>
        <w:left w:val="none" w:sz="0" w:space="0" w:color="auto"/>
        <w:bottom w:val="none" w:sz="0" w:space="0" w:color="auto"/>
        <w:right w:val="none" w:sz="0" w:space="0" w:color="auto"/>
      </w:divBdr>
    </w:div>
    <w:div w:id="1411272792">
      <w:bodyDiv w:val="1"/>
      <w:marLeft w:val="0"/>
      <w:marRight w:val="0"/>
      <w:marTop w:val="0"/>
      <w:marBottom w:val="0"/>
      <w:divBdr>
        <w:top w:val="none" w:sz="0" w:space="0" w:color="auto"/>
        <w:left w:val="none" w:sz="0" w:space="0" w:color="auto"/>
        <w:bottom w:val="none" w:sz="0" w:space="0" w:color="auto"/>
        <w:right w:val="none" w:sz="0" w:space="0" w:color="auto"/>
      </w:divBdr>
    </w:div>
    <w:div w:id="1413695090">
      <w:bodyDiv w:val="1"/>
      <w:marLeft w:val="0"/>
      <w:marRight w:val="0"/>
      <w:marTop w:val="0"/>
      <w:marBottom w:val="0"/>
      <w:divBdr>
        <w:top w:val="none" w:sz="0" w:space="0" w:color="auto"/>
        <w:left w:val="none" w:sz="0" w:space="0" w:color="auto"/>
        <w:bottom w:val="none" w:sz="0" w:space="0" w:color="auto"/>
        <w:right w:val="none" w:sz="0" w:space="0" w:color="auto"/>
      </w:divBdr>
    </w:div>
    <w:div w:id="1415784741">
      <w:bodyDiv w:val="1"/>
      <w:marLeft w:val="0"/>
      <w:marRight w:val="0"/>
      <w:marTop w:val="0"/>
      <w:marBottom w:val="0"/>
      <w:divBdr>
        <w:top w:val="none" w:sz="0" w:space="0" w:color="auto"/>
        <w:left w:val="none" w:sz="0" w:space="0" w:color="auto"/>
        <w:bottom w:val="none" w:sz="0" w:space="0" w:color="auto"/>
        <w:right w:val="none" w:sz="0" w:space="0" w:color="auto"/>
      </w:divBdr>
    </w:div>
    <w:div w:id="1416902968">
      <w:bodyDiv w:val="1"/>
      <w:marLeft w:val="0"/>
      <w:marRight w:val="0"/>
      <w:marTop w:val="0"/>
      <w:marBottom w:val="0"/>
      <w:divBdr>
        <w:top w:val="none" w:sz="0" w:space="0" w:color="auto"/>
        <w:left w:val="none" w:sz="0" w:space="0" w:color="auto"/>
        <w:bottom w:val="none" w:sz="0" w:space="0" w:color="auto"/>
        <w:right w:val="none" w:sz="0" w:space="0" w:color="auto"/>
      </w:divBdr>
    </w:div>
    <w:div w:id="1418092881">
      <w:bodyDiv w:val="1"/>
      <w:marLeft w:val="0"/>
      <w:marRight w:val="0"/>
      <w:marTop w:val="0"/>
      <w:marBottom w:val="0"/>
      <w:divBdr>
        <w:top w:val="none" w:sz="0" w:space="0" w:color="auto"/>
        <w:left w:val="none" w:sz="0" w:space="0" w:color="auto"/>
        <w:bottom w:val="none" w:sz="0" w:space="0" w:color="auto"/>
        <w:right w:val="none" w:sz="0" w:space="0" w:color="auto"/>
      </w:divBdr>
    </w:div>
    <w:div w:id="1424953345">
      <w:bodyDiv w:val="1"/>
      <w:marLeft w:val="0"/>
      <w:marRight w:val="0"/>
      <w:marTop w:val="0"/>
      <w:marBottom w:val="0"/>
      <w:divBdr>
        <w:top w:val="none" w:sz="0" w:space="0" w:color="auto"/>
        <w:left w:val="none" w:sz="0" w:space="0" w:color="auto"/>
        <w:bottom w:val="none" w:sz="0" w:space="0" w:color="auto"/>
        <w:right w:val="none" w:sz="0" w:space="0" w:color="auto"/>
      </w:divBdr>
    </w:div>
    <w:div w:id="1433013127">
      <w:bodyDiv w:val="1"/>
      <w:marLeft w:val="0"/>
      <w:marRight w:val="0"/>
      <w:marTop w:val="0"/>
      <w:marBottom w:val="0"/>
      <w:divBdr>
        <w:top w:val="none" w:sz="0" w:space="0" w:color="auto"/>
        <w:left w:val="none" w:sz="0" w:space="0" w:color="auto"/>
        <w:bottom w:val="none" w:sz="0" w:space="0" w:color="auto"/>
        <w:right w:val="none" w:sz="0" w:space="0" w:color="auto"/>
      </w:divBdr>
    </w:div>
    <w:div w:id="1433630661">
      <w:bodyDiv w:val="1"/>
      <w:marLeft w:val="0"/>
      <w:marRight w:val="0"/>
      <w:marTop w:val="0"/>
      <w:marBottom w:val="0"/>
      <w:divBdr>
        <w:top w:val="none" w:sz="0" w:space="0" w:color="auto"/>
        <w:left w:val="none" w:sz="0" w:space="0" w:color="auto"/>
        <w:bottom w:val="none" w:sz="0" w:space="0" w:color="auto"/>
        <w:right w:val="none" w:sz="0" w:space="0" w:color="auto"/>
      </w:divBdr>
    </w:div>
    <w:div w:id="1434595123">
      <w:bodyDiv w:val="1"/>
      <w:marLeft w:val="0"/>
      <w:marRight w:val="0"/>
      <w:marTop w:val="0"/>
      <w:marBottom w:val="0"/>
      <w:divBdr>
        <w:top w:val="none" w:sz="0" w:space="0" w:color="auto"/>
        <w:left w:val="none" w:sz="0" w:space="0" w:color="auto"/>
        <w:bottom w:val="none" w:sz="0" w:space="0" w:color="auto"/>
        <w:right w:val="none" w:sz="0" w:space="0" w:color="auto"/>
      </w:divBdr>
    </w:div>
    <w:div w:id="1438984225">
      <w:bodyDiv w:val="1"/>
      <w:marLeft w:val="0"/>
      <w:marRight w:val="0"/>
      <w:marTop w:val="0"/>
      <w:marBottom w:val="0"/>
      <w:divBdr>
        <w:top w:val="none" w:sz="0" w:space="0" w:color="auto"/>
        <w:left w:val="none" w:sz="0" w:space="0" w:color="auto"/>
        <w:bottom w:val="none" w:sz="0" w:space="0" w:color="auto"/>
        <w:right w:val="none" w:sz="0" w:space="0" w:color="auto"/>
      </w:divBdr>
      <w:divsChild>
        <w:div w:id="980690532">
          <w:marLeft w:val="0"/>
          <w:marRight w:val="0"/>
          <w:marTop w:val="0"/>
          <w:marBottom w:val="0"/>
          <w:divBdr>
            <w:top w:val="none" w:sz="0" w:space="0" w:color="auto"/>
            <w:left w:val="none" w:sz="0" w:space="0" w:color="auto"/>
            <w:bottom w:val="none" w:sz="0" w:space="0" w:color="auto"/>
            <w:right w:val="none" w:sz="0" w:space="0" w:color="auto"/>
          </w:divBdr>
        </w:div>
        <w:div w:id="1666469044">
          <w:marLeft w:val="0"/>
          <w:marRight w:val="0"/>
          <w:marTop w:val="0"/>
          <w:marBottom w:val="0"/>
          <w:divBdr>
            <w:top w:val="none" w:sz="0" w:space="0" w:color="auto"/>
            <w:left w:val="none" w:sz="0" w:space="0" w:color="auto"/>
            <w:bottom w:val="none" w:sz="0" w:space="0" w:color="auto"/>
            <w:right w:val="none" w:sz="0" w:space="0" w:color="auto"/>
          </w:divBdr>
        </w:div>
      </w:divsChild>
    </w:div>
    <w:div w:id="1450050827">
      <w:bodyDiv w:val="1"/>
      <w:marLeft w:val="0"/>
      <w:marRight w:val="0"/>
      <w:marTop w:val="0"/>
      <w:marBottom w:val="0"/>
      <w:divBdr>
        <w:top w:val="none" w:sz="0" w:space="0" w:color="auto"/>
        <w:left w:val="none" w:sz="0" w:space="0" w:color="auto"/>
        <w:bottom w:val="none" w:sz="0" w:space="0" w:color="auto"/>
        <w:right w:val="none" w:sz="0" w:space="0" w:color="auto"/>
      </w:divBdr>
    </w:div>
    <w:div w:id="1456676599">
      <w:bodyDiv w:val="1"/>
      <w:marLeft w:val="0"/>
      <w:marRight w:val="0"/>
      <w:marTop w:val="0"/>
      <w:marBottom w:val="0"/>
      <w:divBdr>
        <w:top w:val="none" w:sz="0" w:space="0" w:color="auto"/>
        <w:left w:val="none" w:sz="0" w:space="0" w:color="auto"/>
        <w:bottom w:val="none" w:sz="0" w:space="0" w:color="auto"/>
        <w:right w:val="none" w:sz="0" w:space="0" w:color="auto"/>
      </w:divBdr>
    </w:div>
    <w:div w:id="1456680804">
      <w:bodyDiv w:val="1"/>
      <w:marLeft w:val="0"/>
      <w:marRight w:val="0"/>
      <w:marTop w:val="0"/>
      <w:marBottom w:val="0"/>
      <w:divBdr>
        <w:top w:val="none" w:sz="0" w:space="0" w:color="auto"/>
        <w:left w:val="none" w:sz="0" w:space="0" w:color="auto"/>
        <w:bottom w:val="none" w:sz="0" w:space="0" w:color="auto"/>
        <w:right w:val="none" w:sz="0" w:space="0" w:color="auto"/>
      </w:divBdr>
      <w:divsChild>
        <w:div w:id="12808095">
          <w:marLeft w:val="0"/>
          <w:marRight w:val="0"/>
          <w:marTop w:val="0"/>
          <w:marBottom w:val="0"/>
          <w:divBdr>
            <w:top w:val="none" w:sz="0" w:space="0" w:color="auto"/>
            <w:left w:val="none" w:sz="0" w:space="0" w:color="auto"/>
            <w:bottom w:val="none" w:sz="0" w:space="0" w:color="auto"/>
            <w:right w:val="none" w:sz="0" w:space="0" w:color="auto"/>
          </w:divBdr>
          <w:divsChild>
            <w:div w:id="15338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26743">
      <w:bodyDiv w:val="1"/>
      <w:marLeft w:val="0"/>
      <w:marRight w:val="0"/>
      <w:marTop w:val="0"/>
      <w:marBottom w:val="0"/>
      <w:divBdr>
        <w:top w:val="none" w:sz="0" w:space="0" w:color="auto"/>
        <w:left w:val="none" w:sz="0" w:space="0" w:color="auto"/>
        <w:bottom w:val="none" w:sz="0" w:space="0" w:color="auto"/>
        <w:right w:val="none" w:sz="0" w:space="0" w:color="auto"/>
      </w:divBdr>
      <w:divsChild>
        <w:div w:id="1091126155">
          <w:marLeft w:val="0"/>
          <w:marRight w:val="0"/>
          <w:marTop w:val="0"/>
          <w:marBottom w:val="0"/>
          <w:divBdr>
            <w:top w:val="none" w:sz="0" w:space="0" w:color="auto"/>
            <w:left w:val="none" w:sz="0" w:space="0" w:color="auto"/>
            <w:bottom w:val="none" w:sz="0" w:space="0" w:color="auto"/>
            <w:right w:val="none" w:sz="0" w:space="0" w:color="auto"/>
          </w:divBdr>
        </w:div>
        <w:div w:id="1319503401">
          <w:marLeft w:val="0"/>
          <w:marRight w:val="0"/>
          <w:marTop w:val="0"/>
          <w:marBottom w:val="0"/>
          <w:divBdr>
            <w:top w:val="none" w:sz="0" w:space="0" w:color="auto"/>
            <w:left w:val="none" w:sz="0" w:space="0" w:color="auto"/>
            <w:bottom w:val="none" w:sz="0" w:space="0" w:color="auto"/>
            <w:right w:val="none" w:sz="0" w:space="0" w:color="auto"/>
          </w:divBdr>
        </w:div>
      </w:divsChild>
    </w:div>
    <w:div w:id="1459956987">
      <w:bodyDiv w:val="1"/>
      <w:marLeft w:val="0"/>
      <w:marRight w:val="0"/>
      <w:marTop w:val="0"/>
      <w:marBottom w:val="0"/>
      <w:divBdr>
        <w:top w:val="none" w:sz="0" w:space="0" w:color="auto"/>
        <w:left w:val="none" w:sz="0" w:space="0" w:color="auto"/>
        <w:bottom w:val="none" w:sz="0" w:space="0" w:color="auto"/>
        <w:right w:val="none" w:sz="0" w:space="0" w:color="auto"/>
      </w:divBdr>
    </w:div>
    <w:div w:id="1460492636">
      <w:bodyDiv w:val="1"/>
      <w:marLeft w:val="0"/>
      <w:marRight w:val="0"/>
      <w:marTop w:val="0"/>
      <w:marBottom w:val="0"/>
      <w:divBdr>
        <w:top w:val="none" w:sz="0" w:space="0" w:color="auto"/>
        <w:left w:val="none" w:sz="0" w:space="0" w:color="auto"/>
        <w:bottom w:val="none" w:sz="0" w:space="0" w:color="auto"/>
        <w:right w:val="none" w:sz="0" w:space="0" w:color="auto"/>
      </w:divBdr>
    </w:div>
    <w:div w:id="1472819961">
      <w:bodyDiv w:val="1"/>
      <w:marLeft w:val="0"/>
      <w:marRight w:val="0"/>
      <w:marTop w:val="0"/>
      <w:marBottom w:val="0"/>
      <w:divBdr>
        <w:top w:val="none" w:sz="0" w:space="0" w:color="auto"/>
        <w:left w:val="none" w:sz="0" w:space="0" w:color="auto"/>
        <w:bottom w:val="none" w:sz="0" w:space="0" w:color="auto"/>
        <w:right w:val="none" w:sz="0" w:space="0" w:color="auto"/>
      </w:divBdr>
    </w:div>
    <w:div w:id="1478760515">
      <w:bodyDiv w:val="1"/>
      <w:marLeft w:val="0"/>
      <w:marRight w:val="0"/>
      <w:marTop w:val="0"/>
      <w:marBottom w:val="0"/>
      <w:divBdr>
        <w:top w:val="none" w:sz="0" w:space="0" w:color="auto"/>
        <w:left w:val="none" w:sz="0" w:space="0" w:color="auto"/>
        <w:bottom w:val="none" w:sz="0" w:space="0" w:color="auto"/>
        <w:right w:val="none" w:sz="0" w:space="0" w:color="auto"/>
      </w:divBdr>
      <w:divsChild>
        <w:div w:id="874544856">
          <w:marLeft w:val="0"/>
          <w:marRight w:val="0"/>
          <w:marTop w:val="0"/>
          <w:marBottom w:val="0"/>
          <w:divBdr>
            <w:top w:val="none" w:sz="0" w:space="0" w:color="auto"/>
            <w:left w:val="none" w:sz="0" w:space="0" w:color="auto"/>
            <w:bottom w:val="none" w:sz="0" w:space="0" w:color="auto"/>
            <w:right w:val="none" w:sz="0" w:space="0" w:color="auto"/>
          </w:divBdr>
          <w:divsChild>
            <w:div w:id="1892184337">
              <w:marLeft w:val="0"/>
              <w:marRight w:val="0"/>
              <w:marTop w:val="0"/>
              <w:marBottom w:val="0"/>
              <w:divBdr>
                <w:top w:val="none" w:sz="0" w:space="0" w:color="auto"/>
                <w:left w:val="none" w:sz="0" w:space="0" w:color="auto"/>
                <w:bottom w:val="none" w:sz="0" w:space="0" w:color="auto"/>
                <w:right w:val="none" w:sz="0" w:space="0" w:color="auto"/>
              </w:divBdr>
            </w:div>
          </w:divsChild>
        </w:div>
        <w:div w:id="1373462163">
          <w:marLeft w:val="0"/>
          <w:marRight w:val="0"/>
          <w:marTop w:val="0"/>
          <w:marBottom w:val="0"/>
          <w:divBdr>
            <w:top w:val="none" w:sz="0" w:space="0" w:color="auto"/>
            <w:left w:val="none" w:sz="0" w:space="0" w:color="auto"/>
            <w:bottom w:val="none" w:sz="0" w:space="0" w:color="auto"/>
            <w:right w:val="none" w:sz="0" w:space="0" w:color="auto"/>
          </w:divBdr>
          <w:divsChild>
            <w:div w:id="589659117">
              <w:marLeft w:val="0"/>
              <w:marRight w:val="0"/>
              <w:marTop w:val="0"/>
              <w:marBottom w:val="0"/>
              <w:divBdr>
                <w:top w:val="none" w:sz="0" w:space="0" w:color="auto"/>
                <w:left w:val="none" w:sz="0" w:space="0" w:color="auto"/>
                <w:bottom w:val="none" w:sz="0" w:space="0" w:color="auto"/>
                <w:right w:val="none" w:sz="0" w:space="0" w:color="auto"/>
              </w:divBdr>
            </w:div>
          </w:divsChild>
        </w:div>
        <w:div w:id="1588688890">
          <w:marLeft w:val="0"/>
          <w:marRight w:val="0"/>
          <w:marTop w:val="0"/>
          <w:marBottom w:val="0"/>
          <w:divBdr>
            <w:top w:val="none" w:sz="0" w:space="0" w:color="auto"/>
            <w:left w:val="none" w:sz="0" w:space="0" w:color="auto"/>
            <w:bottom w:val="none" w:sz="0" w:space="0" w:color="auto"/>
            <w:right w:val="none" w:sz="0" w:space="0" w:color="auto"/>
          </w:divBdr>
          <w:divsChild>
            <w:div w:id="586884097">
              <w:marLeft w:val="0"/>
              <w:marRight w:val="0"/>
              <w:marTop w:val="0"/>
              <w:marBottom w:val="0"/>
              <w:divBdr>
                <w:top w:val="none" w:sz="0" w:space="0" w:color="auto"/>
                <w:left w:val="none" w:sz="0" w:space="0" w:color="auto"/>
                <w:bottom w:val="none" w:sz="0" w:space="0" w:color="auto"/>
                <w:right w:val="none" w:sz="0" w:space="0" w:color="auto"/>
              </w:divBdr>
            </w:div>
          </w:divsChild>
        </w:div>
        <w:div w:id="1924532429">
          <w:marLeft w:val="0"/>
          <w:marRight w:val="0"/>
          <w:marTop w:val="0"/>
          <w:marBottom w:val="0"/>
          <w:divBdr>
            <w:top w:val="none" w:sz="0" w:space="0" w:color="auto"/>
            <w:left w:val="none" w:sz="0" w:space="0" w:color="auto"/>
            <w:bottom w:val="none" w:sz="0" w:space="0" w:color="auto"/>
            <w:right w:val="none" w:sz="0" w:space="0" w:color="auto"/>
          </w:divBdr>
          <w:divsChild>
            <w:div w:id="156048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48767">
      <w:bodyDiv w:val="1"/>
      <w:marLeft w:val="0"/>
      <w:marRight w:val="0"/>
      <w:marTop w:val="0"/>
      <w:marBottom w:val="0"/>
      <w:divBdr>
        <w:top w:val="none" w:sz="0" w:space="0" w:color="auto"/>
        <w:left w:val="none" w:sz="0" w:space="0" w:color="auto"/>
        <w:bottom w:val="none" w:sz="0" w:space="0" w:color="auto"/>
        <w:right w:val="none" w:sz="0" w:space="0" w:color="auto"/>
      </w:divBdr>
    </w:div>
    <w:div w:id="1481002544">
      <w:bodyDiv w:val="1"/>
      <w:marLeft w:val="0"/>
      <w:marRight w:val="0"/>
      <w:marTop w:val="0"/>
      <w:marBottom w:val="0"/>
      <w:divBdr>
        <w:top w:val="none" w:sz="0" w:space="0" w:color="auto"/>
        <w:left w:val="none" w:sz="0" w:space="0" w:color="auto"/>
        <w:bottom w:val="none" w:sz="0" w:space="0" w:color="auto"/>
        <w:right w:val="none" w:sz="0" w:space="0" w:color="auto"/>
      </w:divBdr>
      <w:divsChild>
        <w:div w:id="1800758297">
          <w:marLeft w:val="0"/>
          <w:marRight w:val="0"/>
          <w:marTop w:val="240"/>
          <w:marBottom w:val="240"/>
          <w:divBdr>
            <w:top w:val="none" w:sz="0" w:space="0" w:color="auto"/>
            <w:left w:val="none" w:sz="0" w:space="0" w:color="auto"/>
            <w:bottom w:val="none" w:sz="0" w:space="0" w:color="auto"/>
            <w:right w:val="none" w:sz="0" w:space="0" w:color="auto"/>
          </w:divBdr>
          <w:divsChild>
            <w:div w:id="173496906">
              <w:marLeft w:val="0"/>
              <w:marRight w:val="0"/>
              <w:marTop w:val="0"/>
              <w:marBottom w:val="0"/>
              <w:divBdr>
                <w:top w:val="none" w:sz="0" w:space="0" w:color="auto"/>
                <w:left w:val="none" w:sz="0" w:space="0" w:color="auto"/>
                <w:bottom w:val="none" w:sz="0" w:space="0" w:color="auto"/>
                <w:right w:val="none" w:sz="0" w:space="0" w:color="auto"/>
              </w:divBdr>
            </w:div>
          </w:divsChild>
        </w:div>
        <w:div w:id="1815756286">
          <w:marLeft w:val="0"/>
          <w:marRight w:val="0"/>
          <w:marTop w:val="0"/>
          <w:marBottom w:val="0"/>
          <w:divBdr>
            <w:top w:val="none" w:sz="0" w:space="0" w:color="auto"/>
            <w:left w:val="none" w:sz="0" w:space="0" w:color="auto"/>
            <w:bottom w:val="none" w:sz="0" w:space="0" w:color="auto"/>
            <w:right w:val="none" w:sz="0" w:space="0" w:color="auto"/>
          </w:divBdr>
          <w:divsChild>
            <w:div w:id="72286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0169">
      <w:bodyDiv w:val="1"/>
      <w:marLeft w:val="0"/>
      <w:marRight w:val="0"/>
      <w:marTop w:val="0"/>
      <w:marBottom w:val="0"/>
      <w:divBdr>
        <w:top w:val="none" w:sz="0" w:space="0" w:color="auto"/>
        <w:left w:val="none" w:sz="0" w:space="0" w:color="auto"/>
        <w:bottom w:val="none" w:sz="0" w:space="0" w:color="auto"/>
        <w:right w:val="none" w:sz="0" w:space="0" w:color="auto"/>
      </w:divBdr>
    </w:div>
    <w:div w:id="1487236398">
      <w:bodyDiv w:val="1"/>
      <w:marLeft w:val="0"/>
      <w:marRight w:val="0"/>
      <w:marTop w:val="0"/>
      <w:marBottom w:val="0"/>
      <w:divBdr>
        <w:top w:val="none" w:sz="0" w:space="0" w:color="auto"/>
        <w:left w:val="none" w:sz="0" w:space="0" w:color="auto"/>
        <w:bottom w:val="none" w:sz="0" w:space="0" w:color="auto"/>
        <w:right w:val="none" w:sz="0" w:space="0" w:color="auto"/>
      </w:divBdr>
    </w:div>
    <w:div w:id="1497189879">
      <w:bodyDiv w:val="1"/>
      <w:marLeft w:val="0"/>
      <w:marRight w:val="0"/>
      <w:marTop w:val="0"/>
      <w:marBottom w:val="0"/>
      <w:divBdr>
        <w:top w:val="none" w:sz="0" w:space="0" w:color="auto"/>
        <w:left w:val="none" w:sz="0" w:space="0" w:color="auto"/>
        <w:bottom w:val="none" w:sz="0" w:space="0" w:color="auto"/>
        <w:right w:val="none" w:sz="0" w:space="0" w:color="auto"/>
      </w:divBdr>
    </w:div>
    <w:div w:id="1497497785">
      <w:bodyDiv w:val="1"/>
      <w:marLeft w:val="0"/>
      <w:marRight w:val="0"/>
      <w:marTop w:val="0"/>
      <w:marBottom w:val="0"/>
      <w:divBdr>
        <w:top w:val="none" w:sz="0" w:space="0" w:color="auto"/>
        <w:left w:val="none" w:sz="0" w:space="0" w:color="auto"/>
        <w:bottom w:val="none" w:sz="0" w:space="0" w:color="auto"/>
        <w:right w:val="none" w:sz="0" w:space="0" w:color="auto"/>
      </w:divBdr>
    </w:div>
    <w:div w:id="1497915697">
      <w:bodyDiv w:val="1"/>
      <w:marLeft w:val="0"/>
      <w:marRight w:val="0"/>
      <w:marTop w:val="0"/>
      <w:marBottom w:val="0"/>
      <w:divBdr>
        <w:top w:val="none" w:sz="0" w:space="0" w:color="auto"/>
        <w:left w:val="none" w:sz="0" w:space="0" w:color="auto"/>
        <w:bottom w:val="none" w:sz="0" w:space="0" w:color="auto"/>
        <w:right w:val="none" w:sz="0" w:space="0" w:color="auto"/>
      </w:divBdr>
    </w:div>
    <w:div w:id="1504472606">
      <w:bodyDiv w:val="1"/>
      <w:marLeft w:val="0"/>
      <w:marRight w:val="0"/>
      <w:marTop w:val="0"/>
      <w:marBottom w:val="0"/>
      <w:divBdr>
        <w:top w:val="none" w:sz="0" w:space="0" w:color="auto"/>
        <w:left w:val="none" w:sz="0" w:space="0" w:color="auto"/>
        <w:bottom w:val="none" w:sz="0" w:space="0" w:color="auto"/>
        <w:right w:val="none" w:sz="0" w:space="0" w:color="auto"/>
      </w:divBdr>
    </w:div>
    <w:div w:id="1513908042">
      <w:bodyDiv w:val="1"/>
      <w:marLeft w:val="0"/>
      <w:marRight w:val="0"/>
      <w:marTop w:val="0"/>
      <w:marBottom w:val="0"/>
      <w:divBdr>
        <w:top w:val="none" w:sz="0" w:space="0" w:color="auto"/>
        <w:left w:val="none" w:sz="0" w:space="0" w:color="auto"/>
        <w:bottom w:val="none" w:sz="0" w:space="0" w:color="auto"/>
        <w:right w:val="none" w:sz="0" w:space="0" w:color="auto"/>
      </w:divBdr>
    </w:div>
    <w:div w:id="1515801211">
      <w:bodyDiv w:val="1"/>
      <w:marLeft w:val="0"/>
      <w:marRight w:val="0"/>
      <w:marTop w:val="0"/>
      <w:marBottom w:val="0"/>
      <w:divBdr>
        <w:top w:val="none" w:sz="0" w:space="0" w:color="auto"/>
        <w:left w:val="none" w:sz="0" w:space="0" w:color="auto"/>
        <w:bottom w:val="none" w:sz="0" w:space="0" w:color="auto"/>
        <w:right w:val="none" w:sz="0" w:space="0" w:color="auto"/>
      </w:divBdr>
    </w:div>
    <w:div w:id="1516574293">
      <w:bodyDiv w:val="1"/>
      <w:marLeft w:val="0"/>
      <w:marRight w:val="0"/>
      <w:marTop w:val="0"/>
      <w:marBottom w:val="0"/>
      <w:divBdr>
        <w:top w:val="none" w:sz="0" w:space="0" w:color="auto"/>
        <w:left w:val="none" w:sz="0" w:space="0" w:color="auto"/>
        <w:bottom w:val="none" w:sz="0" w:space="0" w:color="auto"/>
        <w:right w:val="none" w:sz="0" w:space="0" w:color="auto"/>
      </w:divBdr>
    </w:div>
    <w:div w:id="1534420965">
      <w:bodyDiv w:val="1"/>
      <w:marLeft w:val="0"/>
      <w:marRight w:val="0"/>
      <w:marTop w:val="0"/>
      <w:marBottom w:val="0"/>
      <w:divBdr>
        <w:top w:val="none" w:sz="0" w:space="0" w:color="auto"/>
        <w:left w:val="none" w:sz="0" w:space="0" w:color="auto"/>
        <w:bottom w:val="none" w:sz="0" w:space="0" w:color="auto"/>
        <w:right w:val="none" w:sz="0" w:space="0" w:color="auto"/>
      </w:divBdr>
    </w:div>
    <w:div w:id="1538007238">
      <w:bodyDiv w:val="1"/>
      <w:marLeft w:val="0"/>
      <w:marRight w:val="0"/>
      <w:marTop w:val="0"/>
      <w:marBottom w:val="0"/>
      <w:divBdr>
        <w:top w:val="none" w:sz="0" w:space="0" w:color="auto"/>
        <w:left w:val="none" w:sz="0" w:space="0" w:color="auto"/>
        <w:bottom w:val="none" w:sz="0" w:space="0" w:color="auto"/>
        <w:right w:val="none" w:sz="0" w:space="0" w:color="auto"/>
      </w:divBdr>
      <w:divsChild>
        <w:div w:id="614287139">
          <w:marLeft w:val="0"/>
          <w:marRight w:val="0"/>
          <w:marTop w:val="0"/>
          <w:marBottom w:val="0"/>
          <w:divBdr>
            <w:top w:val="none" w:sz="0" w:space="0" w:color="auto"/>
            <w:left w:val="none" w:sz="0" w:space="0" w:color="auto"/>
            <w:bottom w:val="none" w:sz="0" w:space="0" w:color="auto"/>
            <w:right w:val="none" w:sz="0" w:space="0" w:color="auto"/>
          </w:divBdr>
          <w:divsChild>
            <w:div w:id="1638342261">
              <w:marLeft w:val="0"/>
              <w:marRight w:val="0"/>
              <w:marTop w:val="0"/>
              <w:marBottom w:val="0"/>
              <w:divBdr>
                <w:top w:val="none" w:sz="0" w:space="0" w:color="auto"/>
                <w:left w:val="none" w:sz="0" w:space="0" w:color="auto"/>
                <w:bottom w:val="none" w:sz="0" w:space="0" w:color="auto"/>
                <w:right w:val="none" w:sz="0" w:space="0" w:color="auto"/>
              </w:divBdr>
              <w:divsChild>
                <w:div w:id="597565298">
                  <w:marLeft w:val="0"/>
                  <w:marRight w:val="0"/>
                  <w:marTop w:val="0"/>
                  <w:marBottom w:val="0"/>
                  <w:divBdr>
                    <w:top w:val="none" w:sz="0" w:space="0" w:color="auto"/>
                    <w:left w:val="none" w:sz="0" w:space="0" w:color="auto"/>
                    <w:bottom w:val="none" w:sz="0" w:space="0" w:color="auto"/>
                    <w:right w:val="none" w:sz="0" w:space="0" w:color="auto"/>
                  </w:divBdr>
                </w:div>
              </w:divsChild>
            </w:div>
            <w:div w:id="1846897843">
              <w:marLeft w:val="0"/>
              <w:marRight w:val="0"/>
              <w:marTop w:val="0"/>
              <w:marBottom w:val="0"/>
              <w:divBdr>
                <w:top w:val="none" w:sz="0" w:space="0" w:color="auto"/>
                <w:left w:val="none" w:sz="0" w:space="0" w:color="auto"/>
                <w:bottom w:val="none" w:sz="0" w:space="0" w:color="auto"/>
                <w:right w:val="none" w:sz="0" w:space="0" w:color="auto"/>
              </w:divBdr>
            </w:div>
          </w:divsChild>
        </w:div>
        <w:div w:id="1185438178">
          <w:marLeft w:val="0"/>
          <w:marRight w:val="0"/>
          <w:marTop w:val="0"/>
          <w:marBottom w:val="0"/>
          <w:divBdr>
            <w:top w:val="none" w:sz="0" w:space="0" w:color="auto"/>
            <w:left w:val="none" w:sz="0" w:space="0" w:color="auto"/>
            <w:bottom w:val="none" w:sz="0" w:space="0" w:color="auto"/>
            <w:right w:val="none" w:sz="0" w:space="0" w:color="auto"/>
          </w:divBdr>
          <w:divsChild>
            <w:div w:id="1003817910">
              <w:marLeft w:val="0"/>
              <w:marRight w:val="0"/>
              <w:marTop w:val="0"/>
              <w:marBottom w:val="0"/>
              <w:divBdr>
                <w:top w:val="none" w:sz="0" w:space="0" w:color="auto"/>
                <w:left w:val="none" w:sz="0" w:space="0" w:color="auto"/>
                <w:bottom w:val="none" w:sz="0" w:space="0" w:color="auto"/>
                <w:right w:val="none" w:sz="0" w:space="0" w:color="auto"/>
              </w:divBdr>
              <w:divsChild>
                <w:div w:id="1362706605">
                  <w:marLeft w:val="0"/>
                  <w:marRight w:val="0"/>
                  <w:marTop w:val="0"/>
                  <w:marBottom w:val="0"/>
                  <w:divBdr>
                    <w:top w:val="none" w:sz="0" w:space="0" w:color="auto"/>
                    <w:left w:val="none" w:sz="0" w:space="0" w:color="auto"/>
                    <w:bottom w:val="none" w:sz="0" w:space="0" w:color="auto"/>
                    <w:right w:val="none" w:sz="0" w:space="0" w:color="auto"/>
                  </w:divBdr>
                  <w:divsChild>
                    <w:div w:id="6255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1197">
      <w:bodyDiv w:val="1"/>
      <w:marLeft w:val="0"/>
      <w:marRight w:val="0"/>
      <w:marTop w:val="0"/>
      <w:marBottom w:val="0"/>
      <w:divBdr>
        <w:top w:val="none" w:sz="0" w:space="0" w:color="auto"/>
        <w:left w:val="none" w:sz="0" w:space="0" w:color="auto"/>
        <w:bottom w:val="none" w:sz="0" w:space="0" w:color="auto"/>
        <w:right w:val="none" w:sz="0" w:space="0" w:color="auto"/>
      </w:divBdr>
    </w:div>
    <w:div w:id="1544168999">
      <w:bodyDiv w:val="1"/>
      <w:marLeft w:val="0"/>
      <w:marRight w:val="0"/>
      <w:marTop w:val="0"/>
      <w:marBottom w:val="0"/>
      <w:divBdr>
        <w:top w:val="none" w:sz="0" w:space="0" w:color="auto"/>
        <w:left w:val="none" w:sz="0" w:space="0" w:color="auto"/>
        <w:bottom w:val="none" w:sz="0" w:space="0" w:color="auto"/>
        <w:right w:val="none" w:sz="0" w:space="0" w:color="auto"/>
      </w:divBdr>
    </w:div>
    <w:div w:id="1545412626">
      <w:bodyDiv w:val="1"/>
      <w:marLeft w:val="0"/>
      <w:marRight w:val="0"/>
      <w:marTop w:val="0"/>
      <w:marBottom w:val="0"/>
      <w:divBdr>
        <w:top w:val="none" w:sz="0" w:space="0" w:color="auto"/>
        <w:left w:val="none" w:sz="0" w:space="0" w:color="auto"/>
        <w:bottom w:val="none" w:sz="0" w:space="0" w:color="auto"/>
        <w:right w:val="none" w:sz="0" w:space="0" w:color="auto"/>
      </w:divBdr>
    </w:div>
    <w:div w:id="1546482661">
      <w:bodyDiv w:val="1"/>
      <w:marLeft w:val="0"/>
      <w:marRight w:val="0"/>
      <w:marTop w:val="0"/>
      <w:marBottom w:val="0"/>
      <w:divBdr>
        <w:top w:val="none" w:sz="0" w:space="0" w:color="auto"/>
        <w:left w:val="none" w:sz="0" w:space="0" w:color="auto"/>
        <w:bottom w:val="none" w:sz="0" w:space="0" w:color="auto"/>
        <w:right w:val="none" w:sz="0" w:space="0" w:color="auto"/>
      </w:divBdr>
    </w:div>
    <w:div w:id="1546722722">
      <w:bodyDiv w:val="1"/>
      <w:marLeft w:val="0"/>
      <w:marRight w:val="0"/>
      <w:marTop w:val="0"/>
      <w:marBottom w:val="0"/>
      <w:divBdr>
        <w:top w:val="none" w:sz="0" w:space="0" w:color="auto"/>
        <w:left w:val="none" w:sz="0" w:space="0" w:color="auto"/>
        <w:bottom w:val="none" w:sz="0" w:space="0" w:color="auto"/>
        <w:right w:val="none" w:sz="0" w:space="0" w:color="auto"/>
      </w:divBdr>
    </w:div>
    <w:div w:id="1549494547">
      <w:bodyDiv w:val="1"/>
      <w:marLeft w:val="0"/>
      <w:marRight w:val="0"/>
      <w:marTop w:val="0"/>
      <w:marBottom w:val="0"/>
      <w:divBdr>
        <w:top w:val="none" w:sz="0" w:space="0" w:color="auto"/>
        <w:left w:val="none" w:sz="0" w:space="0" w:color="auto"/>
        <w:bottom w:val="none" w:sz="0" w:space="0" w:color="auto"/>
        <w:right w:val="none" w:sz="0" w:space="0" w:color="auto"/>
      </w:divBdr>
    </w:div>
    <w:div w:id="1555241018">
      <w:bodyDiv w:val="1"/>
      <w:marLeft w:val="0"/>
      <w:marRight w:val="0"/>
      <w:marTop w:val="0"/>
      <w:marBottom w:val="0"/>
      <w:divBdr>
        <w:top w:val="none" w:sz="0" w:space="0" w:color="auto"/>
        <w:left w:val="none" w:sz="0" w:space="0" w:color="auto"/>
        <w:bottom w:val="none" w:sz="0" w:space="0" w:color="auto"/>
        <w:right w:val="none" w:sz="0" w:space="0" w:color="auto"/>
      </w:divBdr>
    </w:div>
    <w:div w:id="1555392366">
      <w:bodyDiv w:val="1"/>
      <w:marLeft w:val="0"/>
      <w:marRight w:val="0"/>
      <w:marTop w:val="0"/>
      <w:marBottom w:val="0"/>
      <w:divBdr>
        <w:top w:val="none" w:sz="0" w:space="0" w:color="auto"/>
        <w:left w:val="none" w:sz="0" w:space="0" w:color="auto"/>
        <w:bottom w:val="none" w:sz="0" w:space="0" w:color="auto"/>
        <w:right w:val="none" w:sz="0" w:space="0" w:color="auto"/>
      </w:divBdr>
    </w:div>
    <w:div w:id="1556160527">
      <w:bodyDiv w:val="1"/>
      <w:marLeft w:val="0"/>
      <w:marRight w:val="0"/>
      <w:marTop w:val="0"/>
      <w:marBottom w:val="0"/>
      <w:divBdr>
        <w:top w:val="none" w:sz="0" w:space="0" w:color="auto"/>
        <w:left w:val="none" w:sz="0" w:space="0" w:color="auto"/>
        <w:bottom w:val="none" w:sz="0" w:space="0" w:color="auto"/>
        <w:right w:val="none" w:sz="0" w:space="0" w:color="auto"/>
      </w:divBdr>
    </w:div>
    <w:div w:id="1557007422">
      <w:bodyDiv w:val="1"/>
      <w:marLeft w:val="0"/>
      <w:marRight w:val="0"/>
      <w:marTop w:val="0"/>
      <w:marBottom w:val="0"/>
      <w:divBdr>
        <w:top w:val="none" w:sz="0" w:space="0" w:color="auto"/>
        <w:left w:val="none" w:sz="0" w:space="0" w:color="auto"/>
        <w:bottom w:val="none" w:sz="0" w:space="0" w:color="auto"/>
        <w:right w:val="none" w:sz="0" w:space="0" w:color="auto"/>
      </w:divBdr>
    </w:div>
    <w:div w:id="1564750823">
      <w:bodyDiv w:val="1"/>
      <w:marLeft w:val="0"/>
      <w:marRight w:val="0"/>
      <w:marTop w:val="0"/>
      <w:marBottom w:val="0"/>
      <w:divBdr>
        <w:top w:val="none" w:sz="0" w:space="0" w:color="auto"/>
        <w:left w:val="none" w:sz="0" w:space="0" w:color="auto"/>
        <w:bottom w:val="none" w:sz="0" w:space="0" w:color="auto"/>
        <w:right w:val="none" w:sz="0" w:space="0" w:color="auto"/>
      </w:divBdr>
    </w:div>
    <w:div w:id="1573462070">
      <w:bodyDiv w:val="1"/>
      <w:marLeft w:val="0"/>
      <w:marRight w:val="0"/>
      <w:marTop w:val="0"/>
      <w:marBottom w:val="0"/>
      <w:divBdr>
        <w:top w:val="none" w:sz="0" w:space="0" w:color="auto"/>
        <w:left w:val="none" w:sz="0" w:space="0" w:color="auto"/>
        <w:bottom w:val="none" w:sz="0" w:space="0" w:color="auto"/>
        <w:right w:val="none" w:sz="0" w:space="0" w:color="auto"/>
      </w:divBdr>
    </w:div>
    <w:div w:id="1574240930">
      <w:bodyDiv w:val="1"/>
      <w:marLeft w:val="0"/>
      <w:marRight w:val="0"/>
      <w:marTop w:val="0"/>
      <w:marBottom w:val="0"/>
      <w:divBdr>
        <w:top w:val="none" w:sz="0" w:space="0" w:color="auto"/>
        <w:left w:val="none" w:sz="0" w:space="0" w:color="auto"/>
        <w:bottom w:val="none" w:sz="0" w:space="0" w:color="auto"/>
        <w:right w:val="none" w:sz="0" w:space="0" w:color="auto"/>
      </w:divBdr>
    </w:div>
    <w:div w:id="1575971619">
      <w:bodyDiv w:val="1"/>
      <w:marLeft w:val="0"/>
      <w:marRight w:val="0"/>
      <w:marTop w:val="0"/>
      <w:marBottom w:val="0"/>
      <w:divBdr>
        <w:top w:val="none" w:sz="0" w:space="0" w:color="auto"/>
        <w:left w:val="none" w:sz="0" w:space="0" w:color="auto"/>
        <w:bottom w:val="none" w:sz="0" w:space="0" w:color="auto"/>
        <w:right w:val="none" w:sz="0" w:space="0" w:color="auto"/>
      </w:divBdr>
    </w:div>
    <w:div w:id="1580940381">
      <w:bodyDiv w:val="1"/>
      <w:marLeft w:val="0"/>
      <w:marRight w:val="0"/>
      <w:marTop w:val="0"/>
      <w:marBottom w:val="0"/>
      <w:divBdr>
        <w:top w:val="none" w:sz="0" w:space="0" w:color="auto"/>
        <w:left w:val="none" w:sz="0" w:space="0" w:color="auto"/>
        <w:bottom w:val="none" w:sz="0" w:space="0" w:color="auto"/>
        <w:right w:val="none" w:sz="0" w:space="0" w:color="auto"/>
      </w:divBdr>
    </w:div>
    <w:div w:id="1583182442">
      <w:bodyDiv w:val="1"/>
      <w:marLeft w:val="0"/>
      <w:marRight w:val="0"/>
      <w:marTop w:val="0"/>
      <w:marBottom w:val="0"/>
      <w:divBdr>
        <w:top w:val="none" w:sz="0" w:space="0" w:color="auto"/>
        <w:left w:val="none" w:sz="0" w:space="0" w:color="auto"/>
        <w:bottom w:val="none" w:sz="0" w:space="0" w:color="auto"/>
        <w:right w:val="none" w:sz="0" w:space="0" w:color="auto"/>
      </w:divBdr>
    </w:div>
    <w:div w:id="1584146854">
      <w:bodyDiv w:val="1"/>
      <w:marLeft w:val="0"/>
      <w:marRight w:val="0"/>
      <w:marTop w:val="0"/>
      <w:marBottom w:val="0"/>
      <w:divBdr>
        <w:top w:val="none" w:sz="0" w:space="0" w:color="auto"/>
        <w:left w:val="none" w:sz="0" w:space="0" w:color="auto"/>
        <w:bottom w:val="none" w:sz="0" w:space="0" w:color="auto"/>
        <w:right w:val="none" w:sz="0" w:space="0" w:color="auto"/>
      </w:divBdr>
    </w:div>
    <w:div w:id="1589458056">
      <w:bodyDiv w:val="1"/>
      <w:marLeft w:val="0"/>
      <w:marRight w:val="0"/>
      <w:marTop w:val="0"/>
      <w:marBottom w:val="0"/>
      <w:divBdr>
        <w:top w:val="none" w:sz="0" w:space="0" w:color="auto"/>
        <w:left w:val="none" w:sz="0" w:space="0" w:color="auto"/>
        <w:bottom w:val="none" w:sz="0" w:space="0" w:color="auto"/>
        <w:right w:val="none" w:sz="0" w:space="0" w:color="auto"/>
      </w:divBdr>
    </w:div>
    <w:div w:id="1594240259">
      <w:bodyDiv w:val="1"/>
      <w:marLeft w:val="0"/>
      <w:marRight w:val="0"/>
      <w:marTop w:val="0"/>
      <w:marBottom w:val="0"/>
      <w:divBdr>
        <w:top w:val="none" w:sz="0" w:space="0" w:color="auto"/>
        <w:left w:val="none" w:sz="0" w:space="0" w:color="auto"/>
        <w:bottom w:val="none" w:sz="0" w:space="0" w:color="auto"/>
        <w:right w:val="none" w:sz="0" w:space="0" w:color="auto"/>
      </w:divBdr>
    </w:div>
    <w:div w:id="1595360913">
      <w:bodyDiv w:val="1"/>
      <w:marLeft w:val="0"/>
      <w:marRight w:val="0"/>
      <w:marTop w:val="0"/>
      <w:marBottom w:val="0"/>
      <w:divBdr>
        <w:top w:val="none" w:sz="0" w:space="0" w:color="auto"/>
        <w:left w:val="none" w:sz="0" w:space="0" w:color="auto"/>
        <w:bottom w:val="none" w:sz="0" w:space="0" w:color="auto"/>
        <w:right w:val="none" w:sz="0" w:space="0" w:color="auto"/>
      </w:divBdr>
    </w:div>
    <w:div w:id="1601797787">
      <w:bodyDiv w:val="1"/>
      <w:marLeft w:val="0"/>
      <w:marRight w:val="0"/>
      <w:marTop w:val="0"/>
      <w:marBottom w:val="0"/>
      <w:divBdr>
        <w:top w:val="none" w:sz="0" w:space="0" w:color="auto"/>
        <w:left w:val="none" w:sz="0" w:space="0" w:color="auto"/>
        <w:bottom w:val="none" w:sz="0" w:space="0" w:color="auto"/>
        <w:right w:val="none" w:sz="0" w:space="0" w:color="auto"/>
      </w:divBdr>
    </w:div>
    <w:div w:id="1602883365">
      <w:bodyDiv w:val="1"/>
      <w:marLeft w:val="0"/>
      <w:marRight w:val="0"/>
      <w:marTop w:val="0"/>
      <w:marBottom w:val="0"/>
      <w:divBdr>
        <w:top w:val="none" w:sz="0" w:space="0" w:color="auto"/>
        <w:left w:val="none" w:sz="0" w:space="0" w:color="auto"/>
        <w:bottom w:val="none" w:sz="0" w:space="0" w:color="auto"/>
        <w:right w:val="none" w:sz="0" w:space="0" w:color="auto"/>
      </w:divBdr>
    </w:div>
    <w:div w:id="1603758583">
      <w:bodyDiv w:val="1"/>
      <w:marLeft w:val="0"/>
      <w:marRight w:val="0"/>
      <w:marTop w:val="0"/>
      <w:marBottom w:val="0"/>
      <w:divBdr>
        <w:top w:val="none" w:sz="0" w:space="0" w:color="auto"/>
        <w:left w:val="none" w:sz="0" w:space="0" w:color="auto"/>
        <w:bottom w:val="none" w:sz="0" w:space="0" w:color="auto"/>
        <w:right w:val="none" w:sz="0" w:space="0" w:color="auto"/>
      </w:divBdr>
    </w:div>
    <w:div w:id="1608662079">
      <w:bodyDiv w:val="1"/>
      <w:marLeft w:val="0"/>
      <w:marRight w:val="0"/>
      <w:marTop w:val="0"/>
      <w:marBottom w:val="0"/>
      <w:divBdr>
        <w:top w:val="none" w:sz="0" w:space="0" w:color="auto"/>
        <w:left w:val="none" w:sz="0" w:space="0" w:color="auto"/>
        <w:bottom w:val="none" w:sz="0" w:space="0" w:color="auto"/>
        <w:right w:val="none" w:sz="0" w:space="0" w:color="auto"/>
      </w:divBdr>
    </w:div>
    <w:div w:id="1609190372">
      <w:bodyDiv w:val="1"/>
      <w:marLeft w:val="0"/>
      <w:marRight w:val="0"/>
      <w:marTop w:val="0"/>
      <w:marBottom w:val="0"/>
      <w:divBdr>
        <w:top w:val="none" w:sz="0" w:space="0" w:color="auto"/>
        <w:left w:val="none" w:sz="0" w:space="0" w:color="auto"/>
        <w:bottom w:val="none" w:sz="0" w:space="0" w:color="auto"/>
        <w:right w:val="none" w:sz="0" w:space="0" w:color="auto"/>
      </w:divBdr>
    </w:div>
    <w:div w:id="1610969518">
      <w:bodyDiv w:val="1"/>
      <w:marLeft w:val="0"/>
      <w:marRight w:val="0"/>
      <w:marTop w:val="0"/>
      <w:marBottom w:val="0"/>
      <w:divBdr>
        <w:top w:val="none" w:sz="0" w:space="0" w:color="auto"/>
        <w:left w:val="none" w:sz="0" w:space="0" w:color="auto"/>
        <w:bottom w:val="none" w:sz="0" w:space="0" w:color="auto"/>
        <w:right w:val="none" w:sz="0" w:space="0" w:color="auto"/>
      </w:divBdr>
    </w:div>
    <w:div w:id="1612663380">
      <w:bodyDiv w:val="1"/>
      <w:marLeft w:val="0"/>
      <w:marRight w:val="0"/>
      <w:marTop w:val="0"/>
      <w:marBottom w:val="0"/>
      <w:divBdr>
        <w:top w:val="none" w:sz="0" w:space="0" w:color="auto"/>
        <w:left w:val="none" w:sz="0" w:space="0" w:color="auto"/>
        <w:bottom w:val="none" w:sz="0" w:space="0" w:color="auto"/>
        <w:right w:val="none" w:sz="0" w:space="0" w:color="auto"/>
      </w:divBdr>
    </w:div>
    <w:div w:id="1613323222">
      <w:bodyDiv w:val="1"/>
      <w:marLeft w:val="0"/>
      <w:marRight w:val="0"/>
      <w:marTop w:val="0"/>
      <w:marBottom w:val="0"/>
      <w:divBdr>
        <w:top w:val="none" w:sz="0" w:space="0" w:color="auto"/>
        <w:left w:val="none" w:sz="0" w:space="0" w:color="auto"/>
        <w:bottom w:val="none" w:sz="0" w:space="0" w:color="auto"/>
        <w:right w:val="none" w:sz="0" w:space="0" w:color="auto"/>
      </w:divBdr>
    </w:div>
    <w:div w:id="1613394712">
      <w:bodyDiv w:val="1"/>
      <w:marLeft w:val="0"/>
      <w:marRight w:val="0"/>
      <w:marTop w:val="0"/>
      <w:marBottom w:val="0"/>
      <w:divBdr>
        <w:top w:val="none" w:sz="0" w:space="0" w:color="auto"/>
        <w:left w:val="none" w:sz="0" w:space="0" w:color="auto"/>
        <w:bottom w:val="none" w:sz="0" w:space="0" w:color="auto"/>
        <w:right w:val="none" w:sz="0" w:space="0" w:color="auto"/>
      </w:divBdr>
    </w:div>
    <w:div w:id="1617522358">
      <w:bodyDiv w:val="1"/>
      <w:marLeft w:val="0"/>
      <w:marRight w:val="0"/>
      <w:marTop w:val="0"/>
      <w:marBottom w:val="0"/>
      <w:divBdr>
        <w:top w:val="none" w:sz="0" w:space="0" w:color="auto"/>
        <w:left w:val="none" w:sz="0" w:space="0" w:color="auto"/>
        <w:bottom w:val="none" w:sz="0" w:space="0" w:color="auto"/>
        <w:right w:val="none" w:sz="0" w:space="0" w:color="auto"/>
      </w:divBdr>
      <w:divsChild>
        <w:div w:id="822088379">
          <w:marLeft w:val="0"/>
          <w:marRight w:val="0"/>
          <w:marTop w:val="0"/>
          <w:marBottom w:val="0"/>
          <w:divBdr>
            <w:top w:val="none" w:sz="0" w:space="0" w:color="auto"/>
            <w:left w:val="none" w:sz="0" w:space="0" w:color="auto"/>
            <w:bottom w:val="none" w:sz="0" w:space="0" w:color="auto"/>
            <w:right w:val="none" w:sz="0" w:space="0" w:color="auto"/>
          </w:divBdr>
        </w:div>
        <w:div w:id="1444424216">
          <w:marLeft w:val="0"/>
          <w:marRight w:val="0"/>
          <w:marTop w:val="0"/>
          <w:marBottom w:val="0"/>
          <w:divBdr>
            <w:top w:val="none" w:sz="0" w:space="0" w:color="auto"/>
            <w:left w:val="none" w:sz="0" w:space="0" w:color="auto"/>
            <w:bottom w:val="none" w:sz="0" w:space="0" w:color="auto"/>
            <w:right w:val="none" w:sz="0" w:space="0" w:color="auto"/>
          </w:divBdr>
          <w:divsChild>
            <w:div w:id="4116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80450">
      <w:bodyDiv w:val="1"/>
      <w:marLeft w:val="0"/>
      <w:marRight w:val="0"/>
      <w:marTop w:val="0"/>
      <w:marBottom w:val="0"/>
      <w:divBdr>
        <w:top w:val="none" w:sz="0" w:space="0" w:color="auto"/>
        <w:left w:val="none" w:sz="0" w:space="0" w:color="auto"/>
        <w:bottom w:val="none" w:sz="0" w:space="0" w:color="auto"/>
        <w:right w:val="none" w:sz="0" w:space="0" w:color="auto"/>
      </w:divBdr>
    </w:div>
    <w:div w:id="1628970273">
      <w:bodyDiv w:val="1"/>
      <w:marLeft w:val="0"/>
      <w:marRight w:val="0"/>
      <w:marTop w:val="0"/>
      <w:marBottom w:val="0"/>
      <w:divBdr>
        <w:top w:val="none" w:sz="0" w:space="0" w:color="auto"/>
        <w:left w:val="none" w:sz="0" w:space="0" w:color="auto"/>
        <w:bottom w:val="none" w:sz="0" w:space="0" w:color="auto"/>
        <w:right w:val="none" w:sz="0" w:space="0" w:color="auto"/>
      </w:divBdr>
      <w:divsChild>
        <w:div w:id="7215467">
          <w:marLeft w:val="0"/>
          <w:marRight w:val="0"/>
          <w:marTop w:val="0"/>
          <w:marBottom w:val="0"/>
          <w:divBdr>
            <w:top w:val="none" w:sz="0" w:space="0" w:color="auto"/>
            <w:left w:val="none" w:sz="0" w:space="0" w:color="auto"/>
            <w:bottom w:val="none" w:sz="0" w:space="0" w:color="auto"/>
            <w:right w:val="none" w:sz="0" w:space="0" w:color="auto"/>
          </w:divBdr>
        </w:div>
        <w:div w:id="52314020">
          <w:marLeft w:val="0"/>
          <w:marRight w:val="0"/>
          <w:marTop w:val="0"/>
          <w:marBottom w:val="0"/>
          <w:divBdr>
            <w:top w:val="none" w:sz="0" w:space="0" w:color="auto"/>
            <w:left w:val="none" w:sz="0" w:space="0" w:color="auto"/>
            <w:bottom w:val="none" w:sz="0" w:space="0" w:color="auto"/>
            <w:right w:val="none" w:sz="0" w:space="0" w:color="auto"/>
          </w:divBdr>
        </w:div>
        <w:div w:id="127281628">
          <w:marLeft w:val="0"/>
          <w:marRight w:val="0"/>
          <w:marTop w:val="0"/>
          <w:marBottom w:val="0"/>
          <w:divBdr>
            <w:top w:val="none" w:sz="0" w:space="0" w:color="auto"/>
            <w:left w:val="none" w:sz="0" w:space="0" w:color="auto"/>
            <w:bottom w:val="none" w:sz="0" w:space="0" w:color="auto"/>
            <w:right w:val="none" w:sz="0" w:space="0" w:color="auto"/>
          </w:divBdr>
        </w:div>
        <w:div w:id="158272121">
          <w:marLeft w:val="0"/>
          <w:marRight w:val="0"/>
          <w:marTop w:val="0"/>
          <w:marBottom w:val="0"/>
          <w:divBdr>
            <w:top w:val="none" w:sz="0" w:space="0" w:color="auto"/>
            <w:left w:val="none" w:sz="0" w:space="0" w:color="auto"/>
            <w:bottom w:val="none" w:sz="0" w:space="0" w:color="auto"/>
            <w:right w:val="none" w:sz="0" w:space="0" w:color="auto"/>
          </w:divBdr>
        </w:div>
        <w:div w:id="163979117">
          <w:marLeft w:val="0"/>
          <w:marRight w:val="0"/>
          <w:marTop w:val="0"/>
          <w:marBottom w:val="0"/>
          <w:divBdr>
            <w:top w:val="none" w:sz="0" w:space="0" w:color="auto"/>
            <w:left w:val="none" w:sz="0" w:space="0" w:color="auto"/>
            <w:bottom w:val="none" w:sz="0" w:space="0" w:color="auto"/>
            <w:right w:val="none" w:sz="0" w:space="0" w:color="auto"/>
          </w:divBdr>
        </w:div>
        <w:div w:id="339359555">
          <w:marLeft w:val="0"/>
          <w:marRight w:val="0"/>
          <w:marTop w:val="0"/>
          <w:marBottom w:val="0"/>
          <w:divBdr>
            <w:top w:val="none" w:sz="0" w:space="0" w:color="auto"/>
            <w:left w:val="none" w:sz="0" w:space="0" w:color="auto"/>
            <w:bottom w:val="none" w:sz="0" w:space="0" w:color="auto"/>
            <w:right w:val="none" w:sz="0" w:space="0" w:color="auto"/>
          </w:divBdr>
        </w:div>
        <w:div w:id="384640341">
          <w:marLeft w:val="0"/>
          <w:marRight w:val="0"/>
          <w:marTop w:val="0"/>
          <w:marBottom w:val="0"/>
          <w:divBdr>
            <w:top w:val="none" w:sz="0" w:space="0" w:color="auto"/>
            <w:left w:val="none" w:sz="0" w:space="0" w:color="auto"/>
            <w:bottom w:val="none" w:sz="0" w:space="0" w:color="auto"/>
            <w:right w:val="none" w:sz="0" w:space="0" w:color="auto"/>
          </w:divBdr>
        </w:div>
        <w:div w:id="396779065">
          <w:marLeft w:val="0"/>
          <w:marRight w:val="0"/>
          <w:marTop w:val="0"/>
          <w:marBottom w:val="0"/>
          <w:divBdr>
            <w:top w:val="none" w:sz="0" w:space="0" w:color="auto"/>
            <w:left w:val="none" w:sz="0" w:space="0" w:color="auto"/>
            <w:bottom w:val="none" w:sz="0" w:space="0" w:color="auto"/>
            <w:right w:val="none" w:sz="0" w:space="0" w:color="auto"/>
          </w:divBdr>
        </w:div>
        <w:div w:id="415908842">
          <w:marLeft w:val="0"/>
          <w:marRight w:val="0"/>
          <w:marTop w:val="0"/>
          <w:marBottom w:val="0"/>
          <w:divBdr>
            <w:top w:val="none" w:sz="0" w:space="0" w:color="auto"/>
            <w:left w:val="none" w:sz="0" w:space="0" w:color="auto"/>
            <w:bottom w:val="none" w:sz="0" w:space="0" w:color="auto"/>
            <w:right w:val="none" w:sz="0" w:space="0" w:color="auto"/>
          </w:divBdr>
        </w:div>
        <w:div w:id="418865586">
          <w:marLeft w:val="0"/>
          <w:marRight w:val="0"/>
          <w:marTop w:val="0"/>
          <w:marBottom w:val="0"/>
          <w:divBdr>
            <w:top w:val="none" w:sz="0" w:space="0" w:color="auto"/>
            <w:left w:val="none" w:sz="0" w:space="0" w:color="auto"/>
            <w:bottom w:val="none" w:sz="0" w:space="0" w:color="auto"/>
            <w:right w:val="none" w:sz="0" w:space="0" w:color="auto"/>
          </w:divBdr>
        </w:div>
        <w:div w:id="469858092">
          <w:marLeft w:val="0"/>
          <w:marRight w:val="0"/>
          <w:marTop w:val="0"/>
          <w:marBottom w:val="0"/>
          <w:divBdr>
            <w:top w:val="none" w:sz="0" w:space="0" w:color="auto"/>
            <w:left w:val="none" w:sz="0" w:space="0" w:color="auto"/>
            <w:bottom w:val="none" w:sz="0" w:space="0" w:color="auto"/>
            <w:right w:val="none" w:sz="0" w:space="0" w:color="auto"/>
          </w:divBdr>
        </w:div>
        <w:div w:id="502356033">
          <w:marLeft w:val="0"/>
          <w:marRight w:val="0"/>
          <w:marTop w:val="0"/>
          <w:marBottom w:val="0"/>
          <w:divBdr>
            <w:top w:val="none" w:sz="0" w:space="0" w:color="auto"/>
            <w:left w:val="none" w:sz="0" w:space="0" w:color="auto"/>
            <w:bottom w:val="none" w:sz="0" w:space="0" w:color="auto"/>
            <w:right w:val="none" w:sz="0" w:space="0" w:color="auto"/>
          </w:divBdr>
        </w:div>
        <w:div w:id="539755027">
          <w:marLeft w:val="0"/>
          <w:marRight w:val="0"/>
          <w:marTop w:val="0"/>
          <w:marBottom w:val="0"/>
          <w:divBdr>
            <w:top w:val="none" w:sz="0" w:space="0" w:color="auto"/>
            <w:left w:val="none" w:sz="0" w:space="0" w:color="auto"/>
            <w:bottom w:val="none" w:sz="0" w:space="0" w:color="auto"/>
            <w:right w:val="none" w:sz="0" w:space="0" w:color="auto"/>
          </w:divBdr>
        </w:div>
        <w:div w:id="548300206">
          <w:marLeft w:val="0"/>
          <w:marRight w:val="0"/>
          <w:marTop w:val="0"/>
          <w:marBottom w:val="0"/>
          <w:divBdr>
            <w:top w:val="none" w:sz="0" w:space="0" w:color="auto"/>
            <w:left w:val="none" w:sz="0" w:space="0" w:color="auto"/>
            <w:bottom w:val="none" w:sz="0" w:space="0" w:color="auto"/>
            <w:right w:val="none" w:sz="0" w:space="0" w:color="auto"/>
          </w:divBdr>
        </w:div>
        <w:div w:id="555704497">
          <w:marLeft w:val="0"/>
          <w:marRight w:val="0"/>
          <w:marTop w:val="0"/>
          <w:marBottom w:val="0"/>
          <w:divBdr>
            <w:top w:val="none" w:sz="0" w:space="0" w:color="auto"/>
            <w:left w:val="none" w:sz="0" w:space="0" w:color="auto"/>
            <w:bottom w:val="none" w:sz="0" w:space="0" w:color="auto"/>
            <w:right w:val="none" w:sz="0" w:space="0" w:color="auto"/>
          </w:divBdr>
        </w:div>
        <w:div w:id="582837007">
          <w:marLeft w:val="0"/>
          <w:marRight w:val="0"/>
          <w:marTop w:val="0"/>
          <w:marBottom w:val="0"/>
          <w:divBdr>
            <w:top w:val="none" w:sz="0" w:space="0" w:color="auto"/>
            <w:left w:val="none" w:sz="0" w:space="0" w:color="auto"/>
            <w:bottom w:val="none" w:sz="0" w:space="0" w:color="auto"/>
            <w:right w:val="none" w:sz="0" w:space="0" w:color="auto"/>
          </w:divBdr>
        </w:div>
        <w:div w:id="616527271">
          <w:marLeft w:val="0"/>
          <w:marRight w:val="0"/>
          <w:marTop w:val="0"/>
          <w:marBottom w:val="0"/>
          <w:divBdr>
            <w:top w:val="none" w:sz="0" w:space="0" w:color="auto"/>
            <w:left w:val="none" w:sz="0" w:space="0" w:color="auto"/>
            <w:bottom w:val="none" w:sz="0" w:space="0" w:color="auto"/>
            <w:right w:val="none" w:sz="0" w:space="0" w:color="auto"/>
          </w:divBdr>
        </w:div>
        <w:div w:id="618537886">
          <w:marLeft w:val="0"/>
          <w:marRight w:val="0"/>
          <w:marTop w:val="0"/>
          <w:marBottom w:val="0"/>
          <w:divBdr>
            <w:top w:val="none" w:sz="0" w:space="0" w:color="auto"/>
            <w:left w:val="none" w:sz="0" w:space="0" w:color="auto"/>
            <w:bottom w:val="none" w:sz="0" w:space="0" w:color="auto"/>
            <w:right w:val="none" w:sz="0" w:space="0" w:color="auto"/>
          </w:divBdr>
        </w:div>
        <w:div w:id="626476461">
          <w:marLeft w:val="0"/>
          <w:marRight w:val="0"/>
          <w:marTop w:val="0"/>
          <w:marBottom w:val="0"/>
          <w:divBdr>
            <w:top w:val="none" w:sz="0" w:space="0" w:color="auto"/>
            <w:left w:val="none" w:sz="0" w:space="0" w:color="auto"/>
            <w:bottom w:val="none" w:sz="0" w:space="0" w:color="auto"/>
            <w:right w:val="none" w:sz="0" w:space="0" w:color="auto"/>
          </w:divBdr>
        </w:div>
        <w:div w:id="673997306">
          <w:marLeft w:val="0"/>
          <w:marRight w:val="0"/>
          <w:marTop w:val="0"/>
          <w:marBottom w:val="0"/>
          <w:divBdr>
            <w:top w:val="none" w:sz="0" w:space="0" w:color="auto"/>
            <w:left w:val="none" w:sz="0" w:space="0" w:color="auto"/>
            <w:bottom w:val="none" w:sz="0" w:space="0" w:color="auto"/>
            <w:right w:val="none" w:sz="0" w:space="0" w:color="auto"/>
          </w:divBdr>
        </w:div>
        <w:div w:id="675688503">
          <w:marLeft w:val="0"/>
          <w:marRight w:val="0"/>
          <w:marTop w:val="0"/>
          <w:marBottom w:val="0"/>
          <w:divBdr>
            <w:top w:val="none" w:sz="0" w:space="0" w:color="auto"/>
            <w:left w:val="none" w:sz="0" w:space="0" w:color="auto"/>
            <w:bottom w:val="none" w:sz="0" w:space="0" w:color="auto"/>
            <w:right w:val="none" w:sz="0" w:space="0" w:color="auto"/>
          </w:divBdr>
        </w:div>
        <w:div w:id="750545605">
          <w:marLeft w:val="0"/>
          <w:marRight w:val="0"/>
          <w:marTop w:val="0"/>
          <w:marBottom w:val="0"/>
          <w:divBdr>
            <w:top w:val="none" w:sz="0" w:space="0" w:color="auto"/>
            <w:left w:val="none" w:sz="0" w:space="0" w:color="auto"/>
            <w:bottom w:val="none" w:sz="0" w:space="0" w:color="auto"/>
            <w:right w:val="none" w:sz="0" w:space="0" w:color="auto"/>
          </w:divBdr>
        </w:div>
        <w:div w:id="820583538">
          <w:marLeft w:val="0"/>
          <w:marRight w:val="0"/>
          <w:marTop w:val="0"/>
          <w:marBottom w:val="0"/>
          <w:divBdr>
            <w:top w:val="none" w:sz="0" w:space="0" w:color="auto"/>
            <w:left w:val="none" w:sz="0" w:space="0" w:color="auto"/>
            <w:bottom w:val="none" w:sz="0" w:space="0" w:color="auto"/>
            <w:right w:val="none" w:sz="0" w:space="0" w:color="auto"/>
          </w:divBdr>
        </w:div>
        <w:div w:id="928849557">
          <w:marLeft w:val="0"/>
          <w:marRight w:val="0"/>
          <w:marTop w:val="0"/>
          <w:marBottom w:val="0"/>
          <w:divBdr>
            <w:top w:val="none" w:sz="0" w:space="0" w:color="auto"/>
            <w:left w:val="none" w:sz="0" w:space="0" w:color="auto"/>
            <w:bottom w:val="none" w:sz="0" w:space="0" w:color="auto"/>
            <w:right w:val="none" w:sz="0" w:space="0" w:color="auto"/>
          </w:divBdr>
        </w:div>
        <w:div w:id="940407351">
          <w:marLeft w:val="0"/>
          <w:marRight w:val="0"/>
          <w:marTop w:val="0"/>
          <w:marBottom w:val="0"/>
          <w:divBdr>
            <w:top w:val="none" w:sz="0" w:space="0" w:color="auto"/>
            <w:left w:val="none" w:sz="0" w:space="0" w:color="auto"/>
            <w:bottom w:val="none" w:sz="0" w:space="0" w:color="auto"/>
            <w:right w:val="none" w:sz="0" w:space="0" w:color="auto"/>
          </w:divBdr>
        </w:div>
        <w:div w:id="941189311">
          <w:marLeft w:val="0"/>
          <w:marRight w:val="0"/>
          <w:marTop w:val="0"/>
          <w:marBottom w:val="0"/>
          <w:divBdr>
            <w:top w:val="none" w:sz="0" w:space="0" w:color="auto"/>
            <w:left w:val="none" w:sz="0" w:space="0" w:color="auto"/>
            <w:bottom w:val="none" w:sz="0" w:space="0" w:color="auto"/>
            <w:right w:val="none" w:sz="0" w:space="0" w:color="auto"/>
          </w:divBdr>
        </w:div>
        <w:div w:id="965509034">
          <w:marLeft w:val="0"/>
          <w:marRight w:val="0"/>
          <w:marTop w:val="0"/>
          <w:marBottom w:val="0"/>
          <w:divBdr>
            <w:top w:val="none" w:sz="0" w:space="0" w:color="auto"/>
            <w:left w:val="none" w:sz="0" w:space="0" w:color="auto"/>
            <w:bottom w:val="none" w:sz="0" w:space="0" w:color="auto"/>
            <w:right w:val="none" w:sz="0" w:space="0" w:color="auto"/>
          </w:divBdr>
        </w:div>
        <w:div w:id="973874685">
          <w:marLeft w:val="0"/>
          <w:marRight w:val="0"/>
          <w:marTop w:val="0"/>
          <w:marBottom w:val="0"/>
          <w:divBdr>
            <w:top w:val="none" w:sz="0" w:space="0" w:color="auto"/>
            <w:left w:val="none" w:sz="0" w:space="0" w:color="auto"/>
            <w:bottom w:val="none" w:sz="0" w:space="0" w:color="auto"/>
            <w:right w:val="none" w:sz="0" w:space="0" w:color="auto"/>
          </w:divBdr>
        </w:div>
        <w:div w:id="991522058">
          <w:marLeft w:val="0"/>
          <w:marRight w:val="0"/>
          <w:marTop w:val="0"/>
          <w:marBottom w:val="0"/>
          <w:divBdr>
            <w:top w:val="none" w:sz="0" w:space="0" w:color="auto"/>
            <w:left w:val="none" w:sz="0" w:space="0" w:color="auto"/>
            <w:bottom w:val="none" w:sz="0" w:space="0" w:color="auto"/>
            <w:right w:val="none" w:sz="0" w:space="0" w:color="auto"/>
          </w:divBdr>
        </w:div>
        <w:div w:id="1085304561">
          <w:marLeft w:val="0"/>
          <w:marRight w:val="0"/>
          <w:marTop w:val="0"/>
          <w:marBottom w:val="0"/>
          <w:divBdr>
            <w:top w:val="none" w:sz="0" w:space="0" w:color="auto"/>
            <w:left w:val="none" w:sz="0" w:space="0" w:color="auto"/>
            <w:bottom w:val="none" w:sz="0" w:space="0" w:color="auto"/>
            <w:right w:val="none" w:sz="0" w:space="0" w:color="auto"/>
          </w:divBdr>
        </w:div>
        <w:div w:id="1085492527">
          <w:marLeft w:val="0"/>
          <w:marRight w:val="0"/>
          <w:marTop w:val="0"/>
          <w:marBottom w:val="0"/>
          <w:divBdr>
            <w:top w:val="none" w:sz="0" w:space="0" w:color="auto"/>
            <w:left w:val="none" w:sz="0" w:space="0" w:color="auto"/>
            <w:bottom w:val="none" w:sz="0" w:space="0" w:color="auto"/>
            <w:right w:val="none" w:sz="0" w:space="0" w:color="auto"/>
          </w:divBdr>
        </w:div>
        <w:div w:id="1231649766">
          <w:marLeft w:val="0"/>
          <w:marRight w:val="0"/>
          <w:marTop w:val="0"/>
          <w:marBottom w:val="0"/>
          <w:divBdr>
            <w:top w:val="none" w:sz="0" w:space="0" w:color="auto"/>
            <w:left w:val="none" w:sz="0" w:space="0" w:color="auto"/>
            <w:bottom w:val="none" w:sz="0" w:space="0" w:color="auto"/>
            <w:right w:val="none" w:sz="0" w:space="0" w:color="auto"/>
          </w:divBdr>
        </w:div>
        <w:div w:id="1246459269">
          <w:marLeft w:val="0"/>
          <w:marRight w:val="0"/>
          <w:marTop w:val="0"/>
          <w:marBottom w:val="0"/>
          <w:divBdr>
            <w:top w:val="none" w:sz="0" w:space="0" w:color="auto"/>
            <w:left w:val="none" w:sz="0" w:space="0" w:color="auto"/>
            <w:bottom w:val="none" w:sz="0" w:space="0" w:color="auto"/>
            <w:right w:val="none" w:sz="0" w:space="0" w:color="auto"/>
          </w:divBdr>
        </w:div>
        <w:div w:id="1263998583">
          <w:marLeft w:val="0"/>
          <w:marRight w:val="0"/>
          <w:marTop w:val="0"/>
          <w:marBottom w:val="0"/>
          <w:divBdr>
            <w:top w:val="none" w:sz="0" w:space="0" w:color="auto"/>
            <w:left w:val="none" w:sz="0" w:space="0" w:color="auto"/>
            <w:bottom w:val="none" w:sz="0" w:space="0" w:color="auto"/>
            <w:right w:val="none" w:sz="0" w:space="0" w:color="auto"/>
          </w:divBdr>
        </w:div>
        <w:div w:id="1312637384">
          <w:marLeft w:val="0"/>
          <w:marRight w:val="0"/>
          <w:marTop w:val="0"/>
          <w:marBottom w:val="0"/>
          <w:divBdr>
            <w:top w:val="none" w:sz="0" w:space="0" w:color="auto"/>
            <w:left w:val="none" w:sz="0" w:space="0" w:color="auto"/>
            <w:bottom w:val="none" w:sz="0" w:space="0" w:color="auto"/>
            <w:right w:val="none" w:sz="0" w:space="0" w:color="auto"/>
          </w:divBdr>
        </w:div>
        <w:div w:id="1334839389">
          <w:marLeft w:val="0"/>
          <w:marRight w:val="0"/>
          <w:marTop w:val="0"/>
          <w:marBottom w:val="0"/>
          <w:divBdr>
            <w:top w:val="none" w:sz="0" w:space="0" w:color="auto"/>
            <w:left w:val="none" w:sz="0" w:space="0" w:color="auto"/>
            <w:bottom w:val="none" w:sz="0" w:space="0" w:color="auto"/>
            <w:right w:val="none" w:sz="0" w:space="0" w:color="auto"/>
          </w:divBdr>
        </w:div>
        <w:div w:id="1353533975">
          <w:marLeft w:val="0"/>
          <w:marRight w:val="0"/>
          <w:marTop w:val="0"/>
          <w:marBottom w:val="0"/>
          <w:divBdr>
            <w:top w:val="none" w:sz="0" w:space="0" w:color="auto"/>
            <w:left w:val="none" w:sz="0" w:space="0" w:color="auto"/>
            <w:bottom w:val="none" w:sz="0" w:space="0" w:color="auto"/>
            <w:right w:val="none" w:sz="0" w:space="0" w:color="auto"/>
          </w:divBdr>
        </w:div>
        <w:div w:id="1358576758">
          <w:marLeft w:val="0"/>
          <w:marRight w:val="0"/>
          <w:marTop w:val="0"/>
          <w:marBottom w:val="0"/>
          <w:divBdr>
            <w:top w:val="none" w:sz="0" w:space="0" w:color="auto"/>
            <w:left w:val="none" w:sz="0" w:space="0" w:color="auto"/>
            <w:bottom w:val="none" w:sz="0" w:space="0" w:color="auto"/>
            <w:right w:val="none" w:sz="0" w:space="0" w:color="auto"/>
          </w:divBdr>
        </w:div>
        <w:div w:id="1369254876">
          <w:marLeft w:val="0"/>
          <w:marRight w:val="0"/>
          <w:marTop w:val="0"/>
          <w:marBottom w:val="0"/>
          <w:divBdr>
            <w:top w:val="none" w:sz="0" w:space="0" w:color="auto"/>
            <w:left w:val="none" w:sz="0" w:space="0" w:color="auto"/>
            <w:bottom w:val="none" w:sz="0" w:space="0" w:color="auto"/>
            <w:right w:val="none" w:sz="0" w:space="0" w:color="auto"/>
          </w:divBdr>
        </w:div>
        <w:div w:id="1426269273">
          <w:marLeft w:val="0"/>
          <w:marRight w:val="0"/>
          <w:marTop w:val="0"/>
          <w:marBottom w:val="0"/>
          <w:divBdr>
            <w:top w:val="none" w:sz="0" w:space="0" w:color="auto"/>
            <w:left w:val="none" w:sz="0" w:space="0" w:color="auto"/>
            <w:bottom w:val="none" w:sz="0" w:space="0" w:color="auto"/>
            <w:right w:val="none" w:sz="0" w:space="0" w:color="auto"/>
          </w:divBdr>
        </w:div>
        <w:div w:id="1443576231">
          <w:marLeft w:val="0"/>
          <w:marRight w:val="0"/>
          <w:marTop w:val="0"/>
          <w:marBottom w:val="0"/>
          <w:divBdr>
            <w:top w:val="none" w:sz="0" w:space="0" w:color="auto"/>
            <w:left w:val="none" w:sz="0" w:space="0" w:color="auto"/>
            <w:bottom w:val="none" w:sz="0" w:space="0" w:color="auto"/>
            <w:right w:val="none" w:sz="0" w:space="0" w:color="auto"/>
          </w:divBdr>
        </w:div>
        <w:div w:id="1502356230">
          <w:marLeft w:val="0"/>
          <w:marRight w:val="0"/>
          <w:marTop w:val="0"/>
          <w:marBottom w:val="0"/>
          <w:divBdr>
            <w:top w:val="none" w:sz="0" w:space="0" w:color="auto"/>
            <w:left w:val="none" w:sz="0" w:space="0" w:color="auto"/>
            <w:bottom w:val="none" w:sz="0" w:space="0" w:color="auto"/>
            <w:right w:val="none" w:sz="0" w:space="0" w:color="auto"/>
          </w:divBdr>
        </w:div>
        <w:div w:id="1545170421">
          <w:marLeft w:val="0"/>
          <w:marRight w:val="0"/>
          <w:marTop w:val="0"/>
          <w:marBottom w:val="0"/>
          <w:divBdr>
            <w:top w:val="none" w:sz="0" w:space="0" w:color="auto"/>
            <w:left w:val="none" w:sz="0" w:space="0" w:color="auto"/>
            <w:bottom w:val="none" w:sz="0" w:space="0" w:color="auto"/>
            <w:right w:val="none" w:sz="0" w:space="0" w:color="auto"/>
          </w:divBdr>
        </w:div>
        <w:div w:id="1613899424">
          <w:marLeft w:val="0"/>
          <w:marRight w:val="0"/>
          <w:marTop w:val="0"/>
          <w:marBottom w:val="0"/>
          <w:divBdr>
            <w:top w:val="none" w:sz="0" w:space="0" w:color="auto"/>
            <w:left w:val="none" w:sz="0" w:space="0" w:color="auto"/>
            <w:bottom w:val="none" w:sz="0" w:space="0" w:color="auto"/>
            <w:right w:val="none" w:sz="0" w:space="0" w:color="auto"/>
          </w:divBdr>
        </w:div>
        <w:div w:id="1622419081">
          <w:marLeft w:val="0"/>
          <w:marRight w:val="0"/>
          <w:marTop w:val="0"/>
          <w:marBottom w:val="0"/>
          <w:divBdr>
            <w:top w:val="none" w:sz="0" w:space="0" w:color="auto"/>
            <w:left w:val="none" w:sz="0" w:space="0" w:color="auto"/>
            <w:bottom w:val="none" w:sz="0" w:space="0" w:color="auto"/>
            <w:right w:val="none" w:sz="0" w:space="0" w:color="auto"/>
          </w:divBdr>
        </w:div>
        <w:div w:id="1649943343">
          <w:marLeft w:val="0"/>
          <w:marRight w:val="0"/>
          <w:marTop w:val="0"/>
          <w:marBottom w:val="0"/>
          <w:divBdr>
            <w:top w:val="none" w:sz="0" w:space="0" w:color="auto"/>
            <w:left w:val="none" w:sz="0" w:space="0" w:color="auto"/>
            <w:bottom w:val="none" w:sz="0" w:space="0" w:color="auto"/>
            <w:right w:val="none" w:sz="0" w:space="0" w:color="auto"/>
          </w:divBdr>
        </w:div>
        <w:div w:id="1705523201">
          <w:marLeft w:val="0"/>
          <w:marRight w:val="0"/>
          <w:marTop w:val="0"/>
          <w:marBottom w:val="0"/>
          <w:divBdr>
            <w:top w:val="none" w:sz="0" w:space="0" w:color="auto"/>
            <w:left w:val="none" w:sz="0" w:space="0" w:color="auto"/>
            <w:bottom w:val="none" w:sz="0" w:space="0" w:color="auto"/>
            <w:right w:val="none" w:sz="0" w:space="0" w:color="auto"/>
          </w:divBdr>
        </w:div>
        <w:div w:id="1753359035">
          <w:marLeft w:val="0"/>
          <w:marRight w:val="0"/>
          <w:marTop w:val="0"/>
          <w:marBottom w:val="0"/>
          <w:divBdr>
            <w:top w:val="none" w:sz="0" w:space="0" w:color="auto"/>
            <w:left w:val="none" w:sz="0" w:space="0" w:color="auto"/>
            <w:bottom w:val="none" w:sz="0" w:space="0" w:color="auto"/>
            <w:right w:val="none" w:sz="0" w:space="0" w:color="auto"/>
          </w:divBdr>
        </w:div>
        <w:div w:id="1773696656">
          <w:marLeft w:val="0"/>
          <w:marRight w:val="0"/>
          <w:marTop w:val="0"/>
          <w:marBottom w:val="0"/>
          <w:divBdr>
            <w:top w:val="none" w:sz="0" w:space="0" w:color="auto"/>
            <w:left w:val="none" w:sz="0" w:space="0" w:color="auto"/>
            <w:bottom w:val="none" w:sz="0" w:space="0" w:color="auto"/>
            <w:right w:val="none" w:sz="0" w:space="0" w:color="auto"/>
          </w:divBdr>
        </w:div>
        <w:div w:id="1812941065">
          <w:marLeft w:val="0"/>
          <w:marRight w:val="0"/>
          <w:marTop w:val="0"/>
          <w:marBottom w:val="0"/>
          <w:divBdr>
            <w:top w:val="none" w:sz="0" w:space="0" w:color="auto"/>
            <w:left w:val="none" w:sz="0" w:space="0" w:color="auto"/>
            <w:bottom w:val="none" w:sz="0" w:space="0" w:color="auto"/>
            <w:right w:val="none" w:sz="0" w:space="0" w:color="auto"/>
          </w:divBdr>
        </w:div>
        <w:div w:id="1817722325">
          <w:marLeft w:val="0"/>
          <w:marRight w:val="0"/>
          <w:marTop w:val="0"/>
          <w:marBottom w:val="0"/>
          <w:divBdr>
            <w:top w:val="none" w:sz="0" w:space="0" w:color="auto"/>
            <w:left w:val="none" w:sz="0" w:space="0" w:color="auto"/>
            <w:bottom w:val="none" w:sz="0" w:space="0" w:color="auto"/>
            <w:right w:val="none" w:sz="0" w:space="0" w:color="auto"/>
          </w:divBdr>
        </w:div>
        <w:div w:id="1949971417">
          <w:marLeft w:val="0"/>
          <w:marRight w:val="0"/>
          <w:marTop w:val="0"/>
          <w:marBottom w:val="0"/>
          <w:divBdr>
            <w:top w:val="none" w:sz="0" w:space="0" w:color="auto"/>
            <w:left w:val="none" w:sz="0" w:space="0" w:color="auto"/>
            <w:bottom w:val="none" w:sz="0" w:space="0" w:color="auto"/>
            <w:right w:val="none" w:sz="0" w:space="0" w:color="auto"/>
          </w:divBdr>
        </w:div>
        <w:div w:id="1961841567">
          <w:marLeft w:val="0"/>
          <w:marRight w:val="0"/>
          <w:marTop w:val="0"/>
          <w:marBottom w:val="0"/>
          <w:divBdr>
            <w:top w:val="none" w:sz="0" w:space="0" w:color="auto"/>
            <w:left w:val="none" w:sz="0" w:space="0" w:color="auto"/>
            <w:bottom w:val="none" w:sz="0" w:space="0" w:color="auto"/>
            <w:right w:val="none" w:sz="0" w:space="0" w:color="auto"/>
          </w:divBdr>
        </w:div>
        <w:div w:id="1999570323">
          <w:marLeft w:val="0"/>
          <w:marRight w:val="0"/>
          <w:marTop w:val="0"/>
          <w:marBottom w:val="0"/>
          <w:divBdr>
            <w:top w:val="none" w:sz="0" w:space="0" w:color="auto"/>
            <w:left w:val="none" w:sz="0" w:space="0" w:color="auto"/>
            <w:bottom w:val="none" w:sz="0" w:space="0" w:color="auto"/>
            <w:right w:val="none" w:sz="0" w:space="0" w:color="auto"/>
          </w:divBdr>
        </w:div>
      </w:divsChild>
    </w:div>
    <w:div w:id="1629050593">
      <w:bodyDiv w:val="1"/>
      <w:marLeft w:val="0"/>
      <w:marRight w:val="0"/>
      <w:marTop w:val="0"/>
      <w:marBottom w:val="0"/>
      <w:divBdr>
        <w:top w:val="none" w:sz="0" w:space="0" w:color="auto"/>
        <w:left w:val="none" w:sz="0" w:space="0" w:color="auto"/>
        <w:bottom w:val="none" w:sz="0" w:space="0" w:color="auto"/>
        <w:right w:val="none" w:sz="0" w:space="0" w:color="auto"/>
      </w:divBdr>
      <w:divsChild>
        <w:div w:id="741022127">
          <w:marLeft w:val="0"/>
          <w:marRight w:val="0"/>
          <w:marTop w:val="0"/>
          <w:marBottom w:val="0"/>
          <w:divBdr>
            <w:top w:val="none" w:sz="0" w:space="0" w:color="auto"/>
            <w:left w:val="none" w:sz="0" w:space="0" w:color="auto"/>
            <w:bottom w:val="none" w:sz="0" w:space="0" w:color="auto"/>
            <w:right w:val="none" w:sz="0" w:space="0" w:color="auto"/>
          </w:divBdr>
        </w:div>
        <w:div w:id="1495879263">
          <w:marLeft w:val="0"/>
          <w:marRight w:val="0"/>
          <w:marTop w:val="0"/>
          <w:marBottom w:val="0"/>
          <w:divBdr>
            <w:top w:val="none" w:sz="0" w:space="0" w:color="auto"/>
            <w:left w:val="none" w:sz="0" w:space="0" w:color="auto"/>
            <w:bottom w:val="none" w:sz="0" w:space="0" w:color="auto"/>
            <w:right w:val="none" w:sz="0" w:space="0" w:color="auto"/>
          </w:divBdr>
        </w:div>
      </w:divsChild>
    </w:div>
    <w:div w:id="1637877597">
      <w:bodyDiv w:val="1"/>
      <w:marLeft w:val="0"/>
      <w:marRight w:val="0"/>
      <w:marTop w:val="0"/>
      <w:marBottom w:val="0"/>
      <w:divBdr>
        <w:top w:val="none" w:sz="0" w:space="0" w:color="auto"/>
        <w:left w:val="none" w:sz="0" w:space="0" w:color="auto"/>
        <w:bottom w:val="none" w:sz="0" w:space="0" w:color="auto"/>
        <w:right w:val="none" w:sz="0" w:space="0" w:color="auto"/>
      </w:divBdr>
    </w:div>
    <w:div w:id="1639800530">
      <w:bodyDiv w:val="1"/>
      <w:marLeft w:val="0"/>
      <w:marRight w:val="0"/>
      <w:marTop w:val="0"/>
      <w:marBottom w:val="0"/>
      <w:divBdr>
        <w:top w:val="none" w:sz="0" w:space="0" w:color="auto"/>
        <w:left w:val="none" w:sz="0" w:space="0" w:color="auto"/>
        <w:bottom w:val="none" w:sz="0" w:space="0" w:color="auto"/>
        <w:right w:val="none" w:sz="0" w:space="0" w:color="auto"/>
      </w:divBdr>
    </w:div>
    <w:div w:id="1641301096">
      <w:bodyDiv w:val="1"/>
      <w:marLeft w:val="0"/>
      <w:marRight w:val="0"/>
      <w:marTop w:val="0"/>
      <w:marBottom w:val="0"/>
      <w:divBdr>
        <w:top w:val="none" w:sz="0" w:space="0" w:color="auto"/>
        <w:left w:val="none" w:sz="0" w:space="0" w:color="auto"/>
        <w:bottom w:val="none" w:sz="0" w:space="0" w:color="auto"/>
        <w:right w:val="none" w:sz="0" w:space="0" w:color="auto"/>
      </w:divBdr>
    </w:div>
    <w:div w:id="1644508350">
      <w:bodyDiv w:val="1"/>
      <w:marLeft w:val="0"/>
      <w:marRight w:val="0"/>
      <w:marTop w:val="0"/>
      <w:marBottom w:val="0"/>
      <w:divBdr>
        <w:top w:val="none" w:sz="0" w:space="0" w:color="auto"/>
        <w:left w:val="none" w:sz="0" w:space="0" w:color="auto"/>
        <w:bottom w:val="none" w:sz="0" w:space="0" w:color="auto"/>
        <w:right w:val="none" w:sz="0" w:space="0" w:color="auto"/>
      </w:divBdr>
    </w:div>
    <w:div w:id="1646348414">
      <w:bodyDiv w:val="1"/>
      <w:marLeft w:val="0"/>
      <w:marRight w:val="0"/>
      <w:marTop w:val="0"/>
      <w:marBottom w:val="0"/>
      <w:divBdr>
        <w:top w:val="none" w:sz="0" w:space="0" w:color="auto"/>
        <w:left w:val="none" w:sz="0" w:space="0" w:color="auto"/>
        <w:bottom w:val="none" w:sz="0" w:space="0" w:color="auto"/>
        <w:right w:val="none" w:sz="0" w:space="0" w:color="auto"/>
      </w:divBdr>
      <w:divsChild>
        <w:div w:id="1737781028">
          <w:marLeft w:val="0"/>
          <w:marRight w:val="0"/>
          <w:marTop w:val="0"/>
          <w:marBottom w:val="0"/>
          <w:divBdr>
            <w:top w:val="none" w:sz="0" w:space="0" w:color="auto"/>
            <w:left w:val="none" w:sz="0" w:space="0" w:color="auto"/>
            <w:bottom w:val="none" w:sz="0" w:space="0" w:color="auto"/>
            <w:right w:val="none" w:sz="0" w:space="0" w:color="auto"/>
          </w:divBdr>
        </w:div>
        <w:div w:id="2051414487">
          <w:marLeft w:val="0"/>
          <w:marRight w:val="0"/>
          <w:marTop w:val="0"/>
          <w:marBottom w:val="0"/>
          <w:divBdr>
            <w:top w:val="none" w:sz="0" w:space="0" w:color="auto"/>
            <w:left w:val="none" w:sz="0" w:space="0" w:color="auto"/>
            <w:bottom w:val="none" w:sz="0" w:space="0" w:color="auto"/>
            <w:right w:val="none" w:sz="0" w:space="0" w:color="auto"/>
          </w:divBdr>
        </w:div>
      </w:divsChild>
    </w:div>
    <w:div w:id="1651667380">
      <w:bodyDiv w:val="1"/>
      <w:marLeft w:val="0"/>
      <w:marRight w:val="0"/>
      <w:marTop w:val="0"/>
      <w:marBottom w:val="0"/>
      <w:divBdr>
        <w:top w:val="none" w:sz="0" w:space="0" w:color="auto"/>
        <w:left w:val="none" w:sz="0" w:space="0" w:color="auto"/>
        <w:bottom w:val="none" w:sz="0" w:space="0" w:color="auto"/>
        <w:right w:val="none" w:sz="0" w:space="0" w:color="auto"/>
      </w:divBdr>
    </w:div>
    <w:div w:id="1655454436">
      <w:bodyDiv w:val="1"/>
      <w:marLeft w:val="0"/>
      <w:marRight w:val="0"/>
      <w:marTop w:val="0"/>
      <w:marBottom w:val="0"/>
      <w:divBdr>
        <w:top w:val="none" w:sz="0" w:space="0" w:color="auto"/>
        <w:left w:val="none" w:sz="0" w:space="0" w:color="auto"/>
        <w:bottom w:val="none" w:sz="0" w:space="0" w:color="auto"/>
        <w:right w:val="none" w:sz="0" w:space="0" w:color="auto"/>
      </w:divBdr>
    </w:div>
    <w:div w:id="1658074969">
      <w:bodyDiv w:val="1"/>
      <w:marLeft w:val="0"/>
      <w:marRight w:val="0"/>
      <w:marTop w:val="0"/>
      <w:marBottom w:val="0"/>
      <w:divBdr>
        <w:top w:val="none" w:sz="0" w:space="0" w:color="auto"/>
        <w:left w:val="none" w:sz="0" w:space="0" w:color="auto"/>
        <w:bottom w:val="none" w:sz="0" w:space="0" w:color="auto"/>
        <w:right w:val="none" w:sz="0" w:space="0" w:color="auto"/>
      </w:divBdr>
    </w:div>
    <w:div w:id="1661033332">
      <w:bodyDiv w:val="1"/>
      <w:marLeft w:val="0"/>
      <w:marRight w:val="0"/>
      <w:marTop w:val="0"/>
      <w:marBottom w:val="0"/>
      <w:divBdr>
        <w:top w:val="none" w:sz="0" w:space="0" w:color="auto"/>
        <w:left w:val="none" w:sz="0" w:space="0" w:color="auto"/>
        <w:bottom w:val="none" w:sz="0" w:space="0" w:color="auto"/>
        <w:right w:val="none" w:sz="0" w:space="0" w:color="auto"/>
      </w:divBdr>
    </w:div>
    <w:div w:id="1662613789">
      <w:bodyDiv w:val="1"/>
      <w:marLeft w:val="0"/>
      <w:marRight w:val="0"/>
      <w:marTop w:val="0"/>
      <w:marBottom w:val="0"/>
      <w:divBdr>
        <w:top w:val="none" w:sz="0" w:space="0" w:color="auto"/>
        <w:left w:val="none" w:sz="0" w:space="0" w:color="auto"/>
        <w:bottom w:val="none" w:sz="0" w:space="0" w:color="auto"/>
        <w:right w:val="none" w:sz="0" w:space="0" w:color="auto"/>
      </w:divBdr>
    </w:div>
    <w:div w:id="1664896389">
      <w:bodyDiv w:val="1"/>
      <w:marLeft w:val="0"/>
      <w:marRight w:val="0"/>
      <w:marTop w:val="0"/>
      <w:marBottom w:val="0"/>
      <w:divBdr>
        <w:top w:val="none" w:sz="0" w:space="0" w:color="auto"/>
        <w:left w:val="none" w:sz="0" w:space="0" w:color="auto"/>
        <w:bottom w:val="none" w:sz="0" w:space="0" w:color="auto"/>
        <w:right w:val="none" w:sz="0" w:space="0" w:color="auto"/>
      </w:divBdr>
    </w:div>
    <w:div w:id="1666934671">
      <w:bodyDiv w:val="1"/>
      <w:marLeft w:val="0"/>
      <w:marRight w:val="0"/>
      <w:marTop w:val="0"/>
      <w:marBottom w:val="0"/>
      <w:divBdr>
        <w:top w:val="none" w:sz="0" w:space="0" w:color="auto"/>
        <w:left w:val="none" w:sz="0" w:space="0" w:color="auto"/>
        <w:bottom w:val="none" w:sz="0" w:space="0" w:color="auto"/>
        <w:right w:val="none" w:sz="0" w:space="0" w:color="auto"/>
      </w:divBdr>
    </w:div>
    <w:div w:id="1679381770">
      <w:bodyDiv w:val="1"/>
      <w:marLeft w:val="0"/>
      <w:marRight w:val="0"/>
      <w:marTop w:val="0"/>
      <w:marBottom w:val="0"/>
      <w:divBdr>
        <w:top w:val="none" w:sz="0" w:space="0" w:color="auto"/>
        <w:left w:val="none" w:sz="0" w:space="0" w:color="auto"/>
        <w:bottom w:val="none" w:sz="0" w:space="0" w:color="auto"/>
        <w:right w:val="none" w:sz="0" w:space="0" w:color="auto"/>
      </w:divBdr>
    </w:div>
    <w:div w:id="1681588532">
      <w:bodyDiv w:val="1"/>
      <w:marLeft w:val="0"/>
      <w:marRight w:val="0"/>
      <w:marTop w:val="0"/>
      <w:marBottom w:val="0"/>
      <w:divBdr>
        <w:top w:val="none" w:sz="0" w:space="0" w:color="auto"/>
        <w:left w:val="none" w:sz="0" w:space="0" w:color="auto"/>
        <w:bottom w:val="none" w:sz="0" w:space="0" w:color="auto"/>
        <w:right w:val="none" w:sz="0" w:space="0" w:color="auto"/>
      </w:divBdr>
    </w:div>
    <w:div w:id="1689943434">
      <w:bodyDiv w:val="1"/>
      <w:marLeft w:val="0"/>
      <w:marRight w:val="0"/>
      <w:marTop w:val="0"/>
      <w:marBottom w:val="0"/>
      <w:divBdr>
        <w:top w:val="none" w:sz="0" w:space="0" w:color="auto"/>
        <w:left w:val="none" w:sz="0" w:space="0" w:color="auto"/>
        <w:bottom w:val="none" w:sz="0" w:space="0" w:color="auto"/>
        <w:right w:val="none" w:sz="0" w:space="0" w:color="auto"/>
      </w:divBdr>
      <w:divsChild>
        <w:div w:id="640814759">
          <w:marLeft w:val="0"/>
          <w:marRight w:val="0"/>
          <w:marTop w:val="0"/>
          <w:marBottom w:val="0"/>
          <w:divBdr>
            <w:top w:val="none" w:sz="0" w:space="0" w:color="auto"/>
            <w:left w:val="none" w:sz="0" w:space="0" w:color="auto"/>
            <w:bottom w:val="none" w:sz="0" w:space="0" w:color="auto"/>
            <w:right w:val="none" w:sz="0" w:space="0" w:color="auto"/>
          </w:divBdr>
          <w:divsChild>
            <w:div w:id="622732969">
              <w:marLeft w:val="0"/>
              <w:marRight w:val="0"/>
              <w:marTop w:val="0"/>
              <w:marBottom w:val="0"/>
              <w:divBdr>
                <w:top w:val="none" w:sz="0" w:space="0" w:color="auto"/>
                <w:left w:val="none" w:sz="0" w:space="0" w:color="auto"/>
                <w:bottom w:val="none" w:sz="0" w:space="0" w:color="auto"/>
                <w:right w:val="none" w:sz="0" w:space="0" w:color="auto"/>
              </w:divBdr>
              <w:divsChild>
                <w:div w:id="1625767007">
                  <w:marLeft w:val="0"/>
                  <w:marRight w:val="0"/>
                  <w:marTop w:val="150"/>
                  <w:marBottom w:val="300"/>
                  <w:divBdr>
                    <w:top w:val="none" w:sz="0" w:space="0" w:color="auto"/>
                    <w:left w:val="none" w:sz="0" w:space="0" w:color="auto"/>
                    <w:bottom w:val="none" w:sz="0" w:space="0" w:color="auto"/>
                    <w:right w:val="none" w:sz="0" w:space="0" w:color="auto"/>
                  </w:divBdr>
                  <w:divsChild>
                    <w:div w:id="26935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90747">
          <w:marLeft w:val="0"/>
          <w:marRight w:val="0"/>
          <w:marTop w:val="0"/>
          <w:marBottom w:val="0"/>
          <w:divBdr>
            <w:top w:val="none" w:sz="0" w:space="0" w:color="auto"/>
            <w:left w:val="none" w:sz="0" w:space="0" w:color="auto"/>
            <w:bottom w:val="none" w:sz="0" w:space="0" w:color="auto"/>
            <w:right w:val="none" w:sz="0" w:space="0" w:color="auto"/>
          </w:divBdr>
          <w:divsChild>
            <w:div w:id="823281732">
              <w:marLeft w:val="0"/>
              <w:marRight w:val="0"/>
              <w:marTop w:val="100"/>
              <w:marBottom w:val="300"/>
              <w:divBdr>
                <w:top w:val="none" w:sz="0" w:space="0" w:color="auto"/>
                <w:left w:val="none" w:sz="0" w:space="0" w:color="auto"/>
                <w:bottom w:val="single" w:sz="12" w:space="0" w:color="4C585D"/>
                <w:right w:val="none" w:sz="0" w:space="0" w:color="auto"/>
              </w:divBdr>
              <w:divsChild>
                <w:div w:id="634264045">
                  <w:marLeft w:val="0"/>
                  <w:marRight w:val="0"/>
                  <w:marTop w:val="0"/>
                  <w:marBottom w:val="300"/>
                  <w:divBdr>
                    <w:top w:val="none" w:sz="0" w:space="0" w:color="auto"/>
                    <w:left w:val="none" w:sz="0" w:space="0" w:color="auto"/>
                    <w:bottom w:val="none" w:sz="0" w:space="0" w:color="auto"/>
                    <w:right w:val="none" w:sz="0" w:space="0" w:color="auto"/>
                  </w:divBdr>
                  <w:divsChild>
                    <w:div w:id="84332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56997">
      <w:bodyDiv w:val="1"/>
      <w:marLeft w:val="0"/>
      <w:marRight w:val="0"/>
      <w:marTop w:val="0"/>
      <w:marBottom w:val="0"/>
      <w:divBdr>
        <w:top w:val="none" w:sz="0" w:space="0" w:color="auto"/>
        <w:left w:val="none" w:sz="0" w:space="0" w:color="auto"/>
        <w:bottom w:val="none" w:sz="0" w:space="0" w:color="auto"/>
        <w:right w:val="none" w:sz="0" w:space="0" w:color="auto"/>
      </w:divBdr>
    </w:div>
    <w:div w:id="1697391045">
      <w:bodyDiv w:val="1"/>
      <w:marLeft w:val="0"/>
      <w:marRight w:val="0"/>
      <w:marTop w:val="0"/>
      <w:marBottom w:val="0"/>
      <w:divBdr>
        <w:top w:val="none" w:sz="0" w:space="0" w:color="auto"/>
        <w:left w:val="none" w:sz="0" w:space="0" w:color="auto"/>
        <w:bottom w:val="none" w:sz="0" w:space="0" w:color="auto"/>
        <w:right w:val="none" w:sz="0" w:space="0" w:color="auto"/>
      </w:divBdr>
    </w:div>
    <w:div w:id="1703557799">
      <w:bodyDiv w:val="1"/>
      <w:marLeft w:val="0"/>
      <w:marRight w:val="0"/>
      <w:marTop w:val="0"/>
      <w:marBottom w:val="0"/>
      <w:divBdr>
        <w:top w:val="none" w:sz="0" w:space="0" w:color="auto"/>
        <w:left w:val="none" w:sz="0" w:space="0" w:color="auto"/>
        <w:bottom w:val="none" w:sz="0" w:space="0" w:color="auto"/>
        <w:right w:val="none" w:sz="0" w:space="0" w:color="auto"/>
      </w:divBdr>
    </w:div>
    <w:div w:id="1703940271">
      <w:bodyDiv w:val="1"/>
      <w:marLeft w:val="0"/>
      <w:marRight w:val="0"/>
      <w:marTop w:val="0"/>
      <w:marBottom w:val="0"/>
      <w:divBdr>
        <w:top w:val="none" w:sz="0" w:space="0" w:color="auto"/>
        <w:left w:val="none" w:sz="0" w:space="0" w:color="auto"/>
        <w:bottom w:val="none" w:sz="0" w:space="0" w:color="auto"/>
        <w:right w:val="none" w:sz="0" w:space="0" w:color="auto"/>
      </w:divBdr>
    </w:div>
    <w:div w:id="1704478604">
      <w:bodyDiv w:val="1"/>
      <w:marLeft w:val="0"/>
      <w:marRight w:val="0"/>
      <w:marTop w:val="0"/>
      <w:marBottom w:val="0"/>
      <w:divBdr>
        <w:top w:val="none" w:sz="0" w:space="0" w:color="auto"/>
        <w:left w:val="none" w:sz="0" w:space="0" w:color="auto"/>
        <w:bottom w:val="none" w:sz="0" w:space="0" w:color="auto"/>
        <w:right w:val="none" w:sz="0" w:space="0" w:color="auto"/>
      </w:divBdr>
    </w:div>
    <w:div w:id="1706058363">
      <w:bodyDiv w:val="1"/>
      <w:marLeft w:val="0"/>
      <w:marRight w:val="0"/>
      <w:marTop w:val="0"/>
      <w:marBottom w:val="0"/>
      <w:divBdr>
        <w:top w:val="none" w:sz="0" w:space="0" w:color="auto"/>
        <w:left w:val="none" w:sz="0" w:space="0" w:color="auto"/>
        <w:bottom w:val="none" w:sz="0" w:space="0" w:color="auto"/>
        <w:right w:val="none" w:sz="0" w:space="0" w:color="auto"/>
      </w:divBdr>
      <w:divsChild>
        <w:div w:id="1087465013">
          <w:marLeft w:val="0"/>
          <w:marRight w:val="0"/>
          <w:marTop w:val="0"/>
          <w:marBottom w:val="0"/>
          <w:divBdr>
            <w:top w:val="none" w:sz="0" w:space="0" w:color="auto"/>
            <w:left w:val="none" w:sz="0" w:space="0" w:color="auto"/>
            <w:bottom w:val="none" w:sz="0" w:space="0" w:color="auto"/>
            <w:right w:val="none" w:sz="0" w:space="0" w:color="auto"/>
          </w:divBdr>
        </w:div>
        <w:div w:id="2072193636">
          <w:marLeft w:val="0"/>
          <w:marRight w:val="0"/>
          <w:marTop w:val="0"/>
          <w:marBottom w:val="0"/>
          <w:divBdr>
            <w:top w:val="none" w:sz="0" w:space="0" w:color="auto"/>
            <w:left w:val="none" w:sz="0" w:space="0" w:color="auto"/>
            <w:bottom w:val="none" w:sz="0" w:space="0" w:color="auto"/>
            <w:right w:val="none" w:sz="0" w:space="0" w:color="auto"/>
          </w:divBdr>
          <w:divsChild>
            <w:div w:id="6185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05678">
      <w:bodyDiv w:val="1"/>
      <w:marLeft w:val="0"/>
      <w:marRight w:val="0"/>
      <w:marTop w:val="0"/>
      <w:marBottom w:val="0"/>
      <w:divBdr>
        <w:top w:val="none" w:sz="0" w:space="0" w:color="auto"/>
        <w:left w:val="none" w:sz="0" w:space="0" w:color="auto"/>
        <w:bottom w:val="none" w:sz="0" w:space="0" w:color="auto"/>
        <w:right w:val="none" w:sz="0" w:space="0" w:color="auto"/>
      </w:divBdr>
    </w:div>
    <w:div w:id="1713261079">
      <w:bodyDiv w:val="1"/>
      <w:marLeft w:val="0"/>
      <w:marRight w:val="0"/>
      <w:marTop w:val="0"/>
      <w:marBottom w:val="0"/>
      <w:divBdr>
        <w:top w:val="none" w:sz="0" w:space="0" w:color="auto"/>
        <w:left w:val="none" w:sz="0" w:space="0" w:color="auto"/>
        <w:bottom w:val="none" w:sz="0" w:space="0" w:color="auto"/>
        <w:right w:val="none" w:sz="0" w:space="0" w:color="auto"/>
      </w:divBdr>
    </w:div>
    <w:div w:id="1713917560">
      <w:bodyDiv w:val="1"/>
      <w:marLeft w:val="0"/>
      <w:marRight w:val="0"/>
      <w:marTop w:val="0"/>
      <w:marBottom w:val="0"/>
      <w:divBdr>
        <w:top w:val="none" w:sz="0" w:space="0" w:color="auto"/>
        <w:left w:val="none" w:sz="0" w:space="0" w:color="auto"/>
        <w:bottom w:val="none" w:sz="0" w:space="0" w:color="auto"/>
        <w:right w:val="none" w:sz="0" w:space="0" w:color="auto"/>
      </w:divBdr>
    </w:div>
    <w:div w:id="1717195071">
      <w:bodyDiv w:val="1"/>
      <w:marLeft w:val="0"/>
      <w:marRight w:val="0"/>
      <w:marTop w:val="0"/>
      <w:marBottom w:val="0"/>
      <w:divBdr>
        <w:top w:val="none" w:sz="0" w:space="0" w:color="auto"/>
        <w:left w:val="none" w:sz="0" w:space="0" w:color="auto"/>
        <w:bottom w:val="none" w:sz="0" w:space="0" w:color="auto"/>
        <w:right w:val="none" w:sz="0" w:space="0" w:color="auto"/>
      </w:divBdr>
    </w:div>
    <w:div w:id="1719471284">
      <w:bodyDiv w:val="1"/>
      <w:marLeft w:val="0"/>
      <w:marRight w:val="0"/>
      <w:marTop w:val="0"/>
      <w:marBottom w:val="0"/>
      <w:divBdr>
        <w:top w:val="none" w:sz="0" w:space="0" w:color="auto"/>
        <w:left w:val="none" w:sz="0" w:space="0" w:color="auto"/>
        <w:bottom w:val="none" w:sz="0" w:space="0" w:color="auto"/>
        <w:right w:val="none" w:sz="0" w:space="0" w:color="auto"/>
      </w:divBdr>
    </w:div>
    <w:div w:id="1723796472">
      <w:bodyDiv w:val="1"/>
      <w:marLeft w:val="0"/>
      <w:marRight w:val="0"/>
      <w:marTop w:val="0"/>
      <w:marBottom w:val="0"/>
      <w:divBdr>
        <w:top w:val="none" w:sz="0" w:space="0" w:color="auto"/>
        <w:left w:val="none" w:sz="0" w:space="0" w:color="auto"/>
        <w:bottom w:val="none" w:sz="0" w:space="0" w:color="auto"/>
        <w:right w:val="none" w:sz="0" w:space="0" w:color="auto"/>
      </w:divBdr>
    </w:div>
    <w:div w:id="1726178134">
      <w:bodyDiv w:val="1"/>
      <w:marLeft w:val="0"/>
      <w:marRight w:val="0"/>
      <w:marTop w:val="0"/>
      <w:marBottom w:val="0"/>
      <w:divBdr>
        <w:top w:val="none" w:sz="0" w:space="0" w:color="auto"/>
        <w:left w:val="none" w:sz="0" w:space="0" w:color="auto"/>
        <w:bottom w:val="none" w:sz="0" w:space="0" w:color="auto"/>
        <w:right w:val="none" w:sz="0" w:space="0" w:color="auto"/>
      </w:divBdr>
    </w:div>
    <w:div w:id="1728989681">
      <w:bodyDiv w:val="1"/>
      <w:marLeft w:val="0"/>
      <w:marRight w:val="0"/>
      <w:marTop w:val="0"/>
      <w:marBottom w:val="0"/>
      <w:divBdr>
        <w:top w:val="none" w:sz="0" w:space="0" w:color="auto"/>
        <w:left w:val="none" w:sz="0" w:space="0" w:color="auto"/>
        <w:bottom w:val="none" w:sz="0" w:space="0" w:color="auto"/>
        <w:right w:val="none" w:sz="0" w:space="0" w:color="auto"/>
      </w:divBdr>
    </w:div>
    <w:div w:id="1733770841">
      <w:bodyDiv w:val="1"/>
      <w:marLeft w:val="0"/>
      <w:marRight w:val="0"/>
      <w:marTop w:val="0"/>
      <w:marBottom w:val="0"/>
      <w:divBdr>
        <w:top w:val="none" w:sz="0" w:space="0" w:color="auto"/>
        <w:left w:val="none" w:sz="0" w:space="0" w:color="auto"/>
        <w:bottom w:val="none" w:sz="0" w:space="0" w:color="auto"/>
        <w:right w:val="none" w:sz="0" w:space="0" w:color="auto"/>
      </w:divBdr>
    </w:div>
    <w:div w:id="1739286223">
      <w:bodyDiv w:val="1"/>
      <w:marLeft w:val="0"/>
      <w:marRight w:val="0"/>
      <w:marTop w:val="0"/>
      <w:marBottom w:val="0"/>
      <w:divBdr>
        <w:top w:val="none" w:sz="0" w:space="0" w:color="auto"/>
        <w:left w:val="none" w:sz="0" w:space="0" w:color="auto"/>
        <w:bottom w:val="none" w:sz="0" w:space="0" w:color="auto"/>
        <w:right w:val="none" w:sz="0" w:space="0" w:color="auto"/>
      </w:divBdr>
    </w:div>
    <w:div w:id="1739664813">
      <w:bodyDiv w:val="1"/>
      <w:marLeft w:val="0"/>
      <w:marRight w:val="0"/>
      <w:marTop w:val="0"/>
      <w:marBottom w:val="0"/>
      <w:divBdr>
        <w:top w:val="none" w:sz="0" w:space="0" w:color="auto"/>
        <w:left w:val="none" w:sz="0" w:space="0" w:color="auto"/>
        <w:bottom w:val="none" w:sz="0" w:space="0" w:color="auto"/>
        <w:right w:val="none" w:sz="0" w:space="0" w:color="auto"/>
      </w:divBdr>
    </w:div>
    <w:div w:id="1739745107">
      <w:bodyDiv w:val="1"/>
      <w:marLeft w:val="0"/>
      <w:marRight w:val="0"/>
      <w:marTop w:val="0"/>
      <w:marBottom w:val="0"/>
      <w:divBdr>
        <w:top w:val="none" w:sz="0" w:space="0" w:color="auto"/>
        <w:left w:val="none" w:sz="0" w:space="0" w:color="auto"/>
        <w:bottom w:val="none" w:sz="0" w:space="0" w:color="auto"/>
        <w:right w:val="none" w:sz="0" w:space="0" w:color="auto"/>
      </w:divBdr>
    </w:div>
    <w:div w:id="1742436297">
      <w:bodyDiv w:val="1"/>
      <w:marLeft w:val="0"/>
      <w:marRight w:val="0"/>
      <w:marTop w:val="0"/>
      <w:marBottom w:val="0"/>
      <w:divBdr>
        <w:top w:val="none" w:sz="0" w:space="0" w:color="auto"/>
        <w:left w:val="none" w:sz="0" w:space="0" w:color="auto"/>
        <w:bottom w:val="none" w:sz="0" w:space="0" w:color="auto"/>
        <w:right w:val="none" w:sz="0" w:space="0" w:color="auto"/>
      </w:divBdr>
    </w:div>
    <w:div w:id="1746949859">
      <w:bodyDiv w:val="1"/>
      <w:marLeft w:val="0"/>
      <w:marRight w:val="0"/>
      <w:marTop w:val="0"/>
      <w:marBottom w:val="0"/>
      <w:divBdr>
        <w:top w:val="none" w:sz="0" w:space="0" w:color="auto"/>
        <w:left w:val="none" w:sz="0" w:space="0" w:color="auto"/>
        <w:bottom w:val="none" w:sz="0" w:space="0" w:color="auto"/>
        <w:right w:val="none" w:sz="0" w:space="0" w:color="auto"/>
      </w:divBdr>
    </w:div>
    <w:div w:id="1757944576">
      <w:bodyDiv w:val="1"/>
      <w:marLeft w:val="0"/>
      <w:marRight w:val="0"/>
      <w:marTop w:val="0"/>
      <w:marBottom w:val="0"/>
      <w:divBdr>
        <w:top w:val="none" w:sz="0" w:space="0" w:color="auto"/>
        <w:left w:val="none" w:sz="0" w:space="0" w:color="auto"/>
        <w:bottom w:val="none" w:sz="0" w:space="0" w:color="auto"/>
        <w:right w:val="none" w:sz="0" w:space="0" w:color="auto"/>
      </w:divBdr>
      <w:divsChild>
        <w:div w:id="678580701">
          <w:marLeft w:val="0"/>
          <w:marRight w:val="0"/>
          <w:marTop w:val="0"/>
          <w:marBottom w:val="0"/>
          <w:divBdr>
            <w:top w:val="none" w:sz="0" w:space="0" w:color="auto"/>
            <w:left w:val="none" w:sz="0" w:space="0" w:color="auto"/>
            <w:bottom w:val="none" w:sz="0" w:space="0" w:color="auto"/>
            <w:right w:val="none" w:sz="0" w:space="0" w:color="auto"/>
          </w:divBdr>
          <w:divsChild>
            <w:div w:id="79372895">
              <w:marLeft w:val="0"/>
              <w:marRight w:val="0"/>
              <w:marTop w:val="0"/>
              <w:marBottom w:val="0"/>
              <w:divBdr>
                <w:top w:val="none" w:sz="0" w:space="0" w:color="auto"/>
                <w:left w:val="none" w:sz="0" w:space="0" w:color="auto"/>
                <w:bottom w:val="none" w:sz="0" w:space="0" w:color="auto"/>
                <w:right w:val="none" w:sz="0" w:space="0" w:color="auto"/>
              </w:divBdr>
            </w:div>
            <w:div w:id="1616402695">
              <w:marLeft w:val="0"/>
              <w:marRight w:val="0"/>
              <w:marTop w:val="0"/>
              <w:marBottom w:val="0"/>
              <w:divBdr>
                <w:top w:val="none" w:sz="0" w:space="0" w:color="auto"/>
                <w:left w:val="none" w:sz="0" w:space="0" w:color="auto"/>
                <w:bottom w:val="none" w:sz="0" w:space="0" w:color="auto"/>
                <w:right w:val="none" w:sz="0" w:space="0" w:color="auto"/>
              </w:divBdr>
              <w:divsChild>
                <w:div w:id="826749361">
                  <w:marLeft w:val="0"/>
                  <w:marRight w:val="0"/>
                  <w:marTop w:val="0"/>
                  <w:marBottom w:val="0"/>
                  <w:divBdr>
                    <w:top w:val="none" w:sz="0" w:space="0" w:color="auto"/>
                    <w:left w:val="none" w:sz="0" w:space="0" w:color="auto"/>
                    <w:bottom w:val="none" w:sz="0" w:space="0" w:color="auto"/>
                    <w:right w:val="none" w:sz="0" w:space="0" w:color="auto"/>
                  </w:divBdr>
                  <w:divsChild>
                    <w:div w:id="180762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736038">
          <w:marLeft w:val="0"/>
          <w:marRight w:val="0"/>
          <w:marTop w:val="0"/>
          <w:marBottom w:val="0"/>
          <w:divBdr>
            <w:top w:val="none" w:sz="0" w:space="0" w:color="auto"/>
            <w:left w:val="none" w:sz="0" w:space="0" w:color="auto"/>
            <w:bottom w:val="none" w:sz="0" w:space="0" w:color="auto"/>
            <w:right w:val="none" w:sz="0" w:space="0" w:color="auto"/>
          </w:divBdr>
          <w:divsChild>
            <w:div w:id="1897937839">
              <w:marLeft w:val="0"/>
              <w:marRight w:val="0"/>
              <w:marTop w:val="0"/>
              <w:marBottom w:val="0"/>
              <w:divBdr>
                <w:top w:val="none" w:sz="0" w:space="0" w:color="auto"/>
                <w:left w:val="none" w:sz="0" w:space="0" w:color="auto"/>
                <w:bottom w:val="none" w:sz="0" w:space="0" w:color="auto"/>
                <w:right w:val="none" w:sz="0" w:space="0" w:color="auto"/>
              </w:divBdr>
              <w:divsChild>
                <w:div w:id="710496141">
                  <w:marLeft w:val="0"/>
                  <w:marRight w:val="0"/>
                  <w:marTop w:val="0"/>
                  <w:marBottom w:val="0"/>
                  <w:divBdr>
                    <w:top w:val="none" w:sz="0" w:space="0" w:color="auto"/>
                    <w:left w:val="none" w:sz="0" w:space="0" w:color="auto"/>
                    <w:bottom w:val="none" w:sz="0" w:space="0" w:color="auto"/>
                    <w:right w:val="none" w:sz="0" w:space="0" w:color="auto"/>
                  </w:divBdr>
                  <w:divsChild>
                    <w:div w:id="445739458">
                      <w:marLeft w:val="0"/>
                      <w:marRight w:val="0"/>
                      <w:marTop w:val="0"/>
                      <w:marBottom w:val="0"/>
                      <w:divBdr>
                        <w:top w:val="none" w:sz="0" w:space="0" w:color="auto"/>
                        <w:left w:val="none" w:sz="0" w:space="0" w:color="auto"/>
                        <w:bottom w:val="none" w:sz="0" w:space="0" w:color="auto"/>
                        <w:right w:val="none" w:sz="0" w:space="0" w:color="auto"/>
                      </w:divBdr>
                    </w:div>
                    <w:div w:id="13974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330132">
      <w:bodyDiv w:val="1"/>
      <w:marLeft w:val="0"/>
      <w:marRight w:val="0"/>
      <w:marTop w:val="0"/>
      <w:marBottom w:val="0"/>
      <w:divBdr>
        <w:top w:val="none" w:sz="0" w:space="0" w:color="auto"/>
        <w:left w:val="none" w:sz="0" w:space="0" w:color="auto"/>
        <w:bottom w:val="none" w:sz="0" w:space="0" w:color="auto"/>
        <w:right w:val="none" w:sz="0" w:space="0" w:color="auto"/>
      </w:divBdr>
    </w:div>
    <w:div w:id="1766223646">
      <w:bodyDiv w:val="1"/>
      <w:marLeft w:val="0"/>
      <w:marRight w:val="0"/>
      <w:marTop w:val="0"/>
      <w:marBottom w:val="0"/>
      <w:divBdr>
        <w:top w:val="none" w:sz="0" w:space="0" w:color="auto"/>
        <w:left w:val="none" w:sz="0" w:space="0" w:color="auto"/>
        <w:bottom w:val="none" w:sz="0" w:space="0" w:color="auto"/>
        <w:right w:val="none" w:sz="0" w:space="0" w:color="auto"/>
      </w:divBdr>
    </w:div>
    <w:div w:id="1769233290">
      <w:bodyDiv w:val="1"/>
      <w:marLeft w:val="0"/>
      <w:marRight w:val="0"/>
      <w:marTop w:val="0"/>
      <w:marBottom w:val="0"/>
      <w:divBdr>
        <w:top w:val="none" w:sz="0" w:space="0" w:color="auto"/>
        <w:left w:val="none" w:sz="0" w:space="0" w:color="auto"/>
        <w:bottom w:val="none" w:sz="0" w:space="0" w:color="auto"/>
        <w:right w:val="none" w:sz="0" w:space="0" w:color="auto"/>
      </w:divBdr>
    </w:div>
    <w:div w:id="1777209161">
      <w:bodyDiv w:val="1"/>
      <w:marLeft w:val="0"/>
      <w:marRight w:val="0"/>
      <w:marTop w:val="0"/>
      <w:marBottom w:val="0"/>
      <w:divBdr>
        <w:top w:val="none" w:sz="0" w:space="0" w:color="auto"/>
        <w:left w:val="none" w:sz="0" w:space="0" w:color="auto"/>
        <w:bottom w:val="none" w:sz="0" w:space="0" w:color="auto"/>
        <w:right w:val="none" w:sz="0" w:space="0" w:color="auto"/>
      </w:divBdr>
      <w:divsChild>
        <w:div w:id="1751543255">
          <w:marLeft w:val="0"/>
          <w:marRight w:val="0"/>
          <w:marTop w:val="0"/>
          <w:marBottom w:val="0"/>
          <w:divBdr>
            <w:top w:val="none" w:sz="0" w:space="0" w:color="auto"/>
            <w:left w:val="none" w:sz="0" w:space="0" w:color="auto"/>
            <w:bottom w:val="none" w:sz="0" w:space="0" w:color="auto"/>
            <w:right w:val="none" w:sz="0" w:space="0" w:color="auto"/>
          </w:divBdr>
          <w:divsChild>
            <w:div w:id="810942743">
              <w:marLeft w:val="0"/>
              <w:marRight w:val="0"/>
              <w:marTop w:val="0"/>
              <w:marBottom w:val="0"/>
              <w:divBdr>
                <w:top w:val="none" w:sz="0" w:space="0" w:color="auto"/>
                <w:left w:val="none" w:sz="0" w:space="0" w:color="auto"/>
                <w:bottom w:val="none" w:sz="0" w:space="0" w:color="auto"/>
                <w:right w:val="none" w:sz="0" w:space="0" w:color="auto"/>
              </w:divBdr>
              <w:divsChild>
                <w:div w:id="318387365">
                  <w:marLeft w:val="0"/>
                  <w:marRight w:val="0"/>
                  <w:marTop w:val="0"/>
                  <w:marBottom w:val="0"/>
                  <w:divBdr>
                    <w:top w:val="none" w:sz="0" w:space="0" w:color="auto"/>
                    <w:left w:val="none" w:sz="0" w:space="0" w:color="auto"/>
                    <w:bottom w:val="none" w:sz="0" w:space="0" w:color="auto"/>
                    <w:right w:val="none" w:sz="0" w:space="0" w:color="auto"/>
                  </w:divBdr>
                  <w:divsChild>
                    <w:div w:id="101712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903734">
      <w:bodyDiv w:val="1"/>
      <w:marLeft w:val="0"/>
      <w:marRight w:val="0"/>
      <w:marTop w:val="0"/>
      <w:marBottom w:val="0"/>
      <w:divBdr>
        <w:top w:val="none" w:sz="0" w:space="0" w:color="auto"/>
        <w:left w:val="none" w:sz="0" w:space="0" w:color="auto"/>
        <w:bottom w:val="none" w:sz="0" w:space="0" w:color="auto"/>
        <w:right w:val="none" w:sz="0" w:space="0" w:color="auto"/>
      </w:divBdr>
    </w:div>
    <w:div w:id="1784575941">
      <w:bodyDiv w:val="1"/>
      <w:marLeft w:val="0"/>
      <w:marRight w:val="0"/>
      <w:marTop w:val="0"/>
      <w:marBottom w:val="0"/>
      <w:divBdr>
        <w:top w:val="none" w:sz="0" w:space="0" w:color="auto"/>
        <w:left w:val="none" w:sz="0" w:space="0" w:color="auto"/>
        <w:bottom w:val="none" w:sz="0" w:space="0" w:color="auto"/>
        <w:right w:val="none" w:sz="0" w:space="0" w:color="auto"/>
      </w:divBdr>
    </w:div>
    <w:div w:id="1788507847">
      <w:bodyDiv w:val="1"/>
      <w:marLeft w:val="0"/>
      <w:marRight w:val="0"/>
      <w:marTop w:val="0"/>
      <w:marBottom w:val="0"/>
      <w:divBdr>
        <w:top w:val="none" w:sz="0" w:space="0" w:color="auto"/>
        <w:left w:val="none" w:sz="0" w:space="0" w:color="auto"/>
        <w:bottom w:val="none" w:sz="0" w:space="0" w:color="auto"/>
        <w:right w:val="none" w:sz="0" w:space="0" w:color="auto"/>
      </w:divBdr>
    </w:div>
    <w:div w:id="1790973560">
      <w:bodyDiv w:val="1"/>
      <w:marLeft w:val="0"/>
      <w:marRight w:val="0"/>
      <w:marTop w:val="0"/>
      <w:marBottom w:val="0"/>
      <w:divBdr>
        <w:top w:val="none" w:sz="0" w:space="0" w:color="auto"/>
        <w:left w:val="none" w:sz="0" w:space="0" w:color="auto"/>
        <w:bottom w:val="none" w:sz="0" w:space="0" w:color="auto"/>
        <w:right w:val="none" w:sz="0" w:space="0" w:color="auto"/>
      </w:divBdr>
    </w:div>
    <w:div w:id="1791244938">
      <w:bodyDiv w:val="1"/>
      <w:marLeft w:val="0"/>
      <w:marRight w:val="0"/>
      <w:marTop w:val="0"/>
      <w:marBottom w:val="0"/>
      <w:divBdr>
        <w:top w:val="none" w:sz="0" w:space="0" w:color="auto"/>
        <w:left w:val="none" w:sz="0" w:space="0" w:color="auto"/>
        <w:bottom w:val="none" w:sz="0" w:space="0" w:color="auto"/>
        <w:right w:val="none" w:sz="0" w:space="0" w:color="auto"/>
      </w:divBdr>
    </w:div>
    <w:div w:id="1791699777">
      <w:bodyDiv w:val="1"/>
      <w:marLeft w:val="0"/>
      <w:marRight w:val="0"/>
      <w:marTop w:val="0"/>
      <w:marBottom w:val="0"/>
      <w:divBdr>
        <w:top w:val="none" w:sz="0" w:space="0" w:color="auto"/>
        <w:left w:val="none" w:sz="0" w:space="0" w:color="auto"/>
        <w:bottom w:val="none" w:sz="0" w:space="0" w:color="auto"/>
        <w:right w:val="none" w:sz="0" w:space="0" w:color="auto"/>
      </w:divBdr>
      <w:divsChild>
        <w:div w:id="830366340">
          <w:marLeft w:val="0"/>
          <w:marRight w:val="0"/>
          <w:marTop w:val="0"/>
          <w:marBottom w:val="0"/>
          <w:divBdr>
            <w:top w:val="none" w:sz="0" w:space="0" w:color="auto"/>
            <w:left w:val="none" w:sz="0" w:space="0" w:color="auto"/>
            <w:bottom w:val="none" w:sz="0" w:space="0" w:color="auto"/>
            <w:right w:val="none" w:sz="0" w:space="0" w:color="auto"/>
          </w:divBdr>
        </w:div>
        <w:div w:id="2059208103">
          <w:marLeft w:val="0"/>
          <w:marRight w:val="0"/>
          <w:marTop w:val="0"/>
          <w:marBottom w:val="0"/>
          <w:divBdr>
            <w:top w:val="none" w:sz="0" w:space="0" w:color="auto"/>
            <w:left w:val="none" w:sz="0" w:space="0" w:color="auto"/>
            <w:bottom w:val="none" w:sz="0" w:space="0" w:color="auto"/>
            <w:right w:val="none" w:sz="0" w:space="0" w:color="auto"/>
          </w:divBdr>
        </w:div>
      </w:divsChild>
    </w:div>
    <w:div w:id="1796295421">
      <w:bodyDiv w:val="1"/>
      <w:marLeft w:val="0"/>
      <w:marRight w:val="0"/>
      <w:marTop w:val="0"/>
      <w:marBottom w:val="0"/>
      <w:divBdr>
        <w:top w:val="none" w:sz="0" w:space="0" w:color="auto"/>
        <w:left w:val="none" w:sz="0" w:space="0" w:color="auto"/>
        <w:bottom w:val="none" w:sz="0" w:space="0" w:color="auto"/>
        <w:right w:val="none" w:sz="0" w:space="0" w:color="auto"/>
      </w:divBdr>
    </w:div>
    <w:div w:id="1800878649">
      <w:bodyDiv w:val="1"/>
      <w:marLeft w:val="0"/>
      <w:marRight w:val="0"/>
      <w:marTop w:val="0"/>
      <w:marBottom w:val="0"/>
      <w:divBdr>
        <w:top w:val="none" w:sz="0" w:space="0" w:color="auto"/>
        <w:left w:val="none" w:sz="0" w:space="0" w:color="auto"/>
        <w:bottom w:val="none" w:sz="0" w:space="0" w:color="auto"/>
        <w:right w:val="none" w:sz="0" w:space="0" w:color="auto"/>
      </w:divBdr>
    </w:div>
    <w:div w:id="1802262018">
      <w:bodyDiv w:val="1"/>
      <w:marLeft w:val="0"/>
      <w:marRight w:val="0"/>
      <w:marTop w:val="0"/>
      <w:marBottom w:val="0"/>
      <w:divBdr>
        <w:top w:val="none" w:sz="0" w:space="0" w:color="auto"/>
        <w:left w:val="none" w:sz="0" w:space="0" w:color="auto"/>
        <w:bottom w:val="none" w:sz="0" w:space="0" w:color="auto"/>
        <w:right w:val="none" w:sz="0" w:space="0" w:color="auto"/>
      </w:divBdr>
      <w:divsChild>
        <w:div w:id="226689874">
          <w:marLeft w:val="0"/>
          <w:marRight w:val="0"/>
          <w:marTop w:val="0"/>
          <w:marBottom w:val="0"/>
          <w:divBdr>
            <w:top w:val="none" w:sz="0" w:space="0" w:color="auto"/>
            <w:left w:val="none" w:sz="0" w:space="0" w:color="auto"/>
            <w:bottom w:val="none" w:sz="0" w:space="0" w:color="auto"/>
            <w:right w:val="none" w:sz="0" w:space="0" w:color="auto"/>
          </w:divBdr>
          <w:divsChild>
            <w:div w:id="429160720">
              <w:marLeft w:val="0"/>
              <w:marRight w:val="0"/>
              <w:marTop w:val="0"/>
              <w:marBottom w:val="0"/>
              <w:divBdr>
                <w:top w:val="none" w:sz="0" w:space="0" w:color="auto"/>
                <w:left w:val="none" w:sz="0" w:space="0" w:color="auto"/>
                <w:bottom w:val="none" w:sz="0" w:space="0" w:color="auto"/>
                <w:right w:val="none" w:sz="0" w:space="0" w:color="auto"/>
              </w:divBdr>
            </w:div>
          </w:divsChild>
        </w:div>
        <w:div w:id="2094008605">
          <w:marLeft w:val="0"/>
          <w:marRight w:val="0"/>
          <w:marTop w:val="0"/>
          <w:marBottom w:val="0"/>
          <w:divBdr>
            <w:top w:val="none" w:sz="0" w:space="0" w:color="auto"/>
            <w:left w:val="none" w:sz="0" w:space="0" w:color="auto"/>
            <w:bottom w:val="none" w:sz="0" w:space="0" w:color="auto"/>
            <w:right w:val="none" w:sz="0" w:space="0" w:color="auto"/>
          </w:divBdr>
          <w:divsChild>
            <w:div w:id="1841122296">
              <w:marLeft w:val="0"/>
              <w:marRight w:val="0"/>
              <w:marTop w:val="0"/>
              <w:marBottom w:val="0"/>
              <w:divBdr>
                <w:top w:val="none" w:sz="0" w:space="0" w:color="auto"/>
                <w:left w:val="none" w:sz="0" w:space="0" w:color="auto"/>
                <w:bottom w:val="none" w:sz="0" w:space="0" w:color="auto"/>
                <w:right w:val="none" w:sz="0" w:space="0" w:color="auto"/>
              </w:divBdr>
              <w:divsChild>
                <w:div w:id="1097679326">
                  <w:marLeft w:val="0"/>
                  <w:marRight w:val="0"/>
                  <w:marTop w:val="0"/>
                  <w:marBottom w:val="0"/>
                  <w:divBdr>
                    <w:top w:val="none" w:sz="0" w:space="0" w:color="auto"/>
                    <w:left w:val="none" w:sz="0" w:space="0" w:color="auto"/>
                    <w:bottom w:val="none" w:sz="0" w:space="0" w:color="auto"/>
                    <w:right w:val="none" w:sz="0" w:space="0" w:color="auto"/>
                  </w:divBdr>
                  <w:divsChild>
                    <w:div w:id="391119924">
                      <w:marLeft w:val="0"/>
                      <w:marRight w:val="0"/>
                      <w:marTop w:val="0"/>
                      <w:marBottom w:val="0"/>
                      <w:divBdr>
                        <w:top w:val="none" w:sz="0" w:space="0" w:color="auto"/>
                        <w:left w:val="none" w:sz="0" w:space="0" w:color="auto"/>
                        <w:bottom w:val="none" w:sz="0" w:space="0" w:color="auto"/>
                        <w:right w:val="none" w:sz="0" w:space="0" w:color="auto"/>
                      </w:divBdr>
                      <w:divsChild>
                        <w:div w:id="1554460542">
                          <w:marLeft w:val="0"/>
                          <w:marRight w:val="0"/>
                          <w:marTop w:val="0"/>
                          <w:marBottom w:val="0"/>
                          <w:divBdr>
                            <w:top w:val="none" w:sz="0" w:space="0" w:color="auto"/>
                            <w:left w:val="none" w:sz="0" w:space="0" w:color="auto"/>
                            <w:bottom w:val="none" w:sz="0" w:space="0" w:color="auto"/>
                            <w:right w:val="none" w:sz="0" w:space="0" w:color="auto"/>
                          </w:divBdr>
                          <w:divsChild>
                            <w:div w:id="1897548334">
                              <w:marLeft w:val="0"/>
                              <w:marRight w:val="0"/>
                              <w:marTop w:val="0"/>
                              <w:marBottom w:val="0"/>
                              <w:divBdr>
                                <w:top w:val="none" w:sz="0" w:space="0" w:color="auto"/>
                                <w:left w:val="none" w:sz="0" w:space="0" w:color="auto"/>
                                <w:bottom w:val="none" w:sz="0" w:space="0" w:color="auto"/>
                                <w:right w:val="none" w:sz="0" w:space="0" w:color="auto"/>
                              </w:divBdr>
                              <w:divsChild>
                                <w:div w:id="407387867">
                                  <w:marLeft w:val="0"/>
                                  <w:marRight w:val="0"/>
                                  <w:marTop w:val="0"/>
                                  <w:marBottom w:val="0"/>
                                  <w:divBdr>
                                    <w:top w:val="none" w:sz="0" w:space="0" w:color="auto"/>
                                    <w:left w:val="none" w:sz="0" w:space="0" w:color="auto"/>
                                    <w:bottom w:val="none" w:sz="0" w:space="0" w:color="auto"/>
                                    <w:right w:val="none" w:sz="0" w:space="0" w:color="auto"/>
                                  </w:divBdr>
                                  <w:divsChild>
                                    <w:div w:id="387657454">
                                      <w:marLeft w:val="0"/>
                                      <w:marRight w:val="0"/>
                                      <w:marTop w:val="0"/>
                                      <w:marBottom w:val="0"/>
                                      <w:divBdr>
                                        <w:top w:val="none" w:sz="0" w:space="0" w:color="auto"/>
                                        <w:left w:val="none" w:sz="0" w:space="0" w:color="auto"/>
                                        <w:bottom w:val="none" w:sz="0" w:space="0" w:color="auto"/>
                                        <w:right w:val="none" w:sz="0" w:space="0" w:color="auto"/>
                                      </w:divBdr>
                                    </w:div>
                                    <w:div w:id="1116872870">
                                      <w:marLeft w:val="0"/>
                                      <w:marRight w:val="0"/>
                                      <w:marTop w:val="0"/>
                                      <w:marBottom w:val="0"/>
                                      <w:divBdr>
                                        <w:top w:val="none" w:sz="0" w:space="0" w:color="auto"/>
                                        <w:left w:val="none" w:sz="0" w:space="0" w:color="auto"/>
                                        <w:bottom w:val="none" w:sz="0" w:space="0" w:color="auto"/>
                                        <w:right w:val="none" w:sz="0" w:space="0" w:color="auto"/>
                                      </w:divBdr>
                                    </w:div>
                                    <w:div w:id="1616789773">
                                      <w:marLeft w:val="0"/>
                                      <w:marRight w:val="0"/>
                                      <w:marTop w:val="0"/>
                                      <w:marBottom w:val="0"/>
                                      <w:divBdr>
                                        <w:top w:val="none" w:sz="0" w:space="0" w:color="auto"/>
                                        <w:left w:val="none" w:sz="0" w:space="0" w:color="auto"/>
                                        <w:bottom w:val="none" w:sz="0" w:space="0" w:color="auto"/>
                                        <w:right w:val="none" w:sz="0" w:space="0" w:color="auto"/>
                                      </w:divBdr>
                                      <w:divsChild>
                                        <w:div w:id="255210285">
                                          <w:marLeft w:val="0"/>
                                          <w:marRight w:val="0"/>
                                          <w:marTop w:val="0"/>
                                          <w:marBottom w:val="0"/>
                                          <w:divBdr>
                                            <w:top w:val="none" w:sz="0" w:space="0" w:color="auto"/>
                                            <w:left w:val="none" w:sz="0" w:space="0" w:color="auto"/>
                                            <w:bottom w:val="none" w:sz="0" w:space="0" w:color="auto"/>
                                            <w:right w:val="none" w:sz="0" w:space="0" w:color="auto"/>
                                          </w:divBdr>
                                        </w:div>
                                      </w:divsChild>
                                    </w:div>
                                    <w:div w:id="18906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888060">
                  <w:marLeft w:val="0"/>
                  <w:marRight w:val="0"/>
                  <w:marTop w:val="0"/>
                  <w:marBottom w:val="0"/>
                  <w:divBdr>
                    <w:top w:val="none" w:sz="0" w:space="0" w:color="auto"/>
                    <w:left w:val="none" w:sz="0" w:space="0" w:color="auto"/>
                    <w:bottom w:val="none" w:sz="0" w:space="0" w:color="auto"/>
                    <w:right w:val="none" w:sz="0" w:space="0" w:color="auto"/>
                  </w:divBdr>
                  <w:divsChild>
                    <w:div w:id="158895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767414">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4536239">
      <w:bodyDiv w:val="1"/>
      <w:marLeft w:val="0"/>
      <w:marRight w:val="0"/>
      <w:marTop w:val="0"/>
      <w:marBottom w:val="0"/>
      <w:divBdr>
        <w:top w:val="none" w:sz="0" w:space="0" w:color="auto"/>
        <w:left w:val="none" w:sz="0" w:space="0" w:color="auto"/>
        <w:bottom w:val="none" w:sz="0" w:space="0" w:color="auto"/>
        <w:right w:val="none" w:sz="0" w:space="0" w:color="auto"/>
      </w:divBdr>
    </w:div>
    <w:div w:id="1809323683">
      <w:bodyDiv w:val="1"/>
      <w:marLeft w:val="0"/>
      <w:marRight w:val="0"/>
      <w:marTop w:val="0"/>
      <w:marBottom w:val="0"/>
      <w:divBdr>
        <w:top w:val="none" w:sz="0" w:space="0" w:color="auto"/>
        <w:left w:val="none" w:sz="0" w:space="0" w:color="auto"/>
        <w:bottom w:val="none" w:sz="0" w:space="0" w:color="auto"/>
        <w:right w:val="none" w:sz="0" w:space="0" w:color="auto"/>
      </w:divBdr>
    </w:div>
    <w:div w:id="1814828778">
      <w:bodyDiv w:val="1"/>
      <w:marLeft w:val="0"/>
      <w:marRight w:val="0"/>
      <w:marTop w:val="0"/>
      <w:marBottom w:val="0"/>
      <w:divBdr>
        <w:top w:val="none" w:sz="0" w:space="0" w:color="auto"/>
        <w:left w:val="none" w:sz="0" w:space="0" w:color="auto"/>
        <w:bottom w:val="none" w:sz="0" w:space="0" w:color="auto"/>
        <w:right w:val="none" w:sz="0" w:space="0" w:color="auto"/>
      </w:divBdr>
    </w:div>
    <w:div w:id="1819111810">
      <w:bodyDiv w:val="1"/>
      <w:marLeft w:val="0"/>
      <w:marRight w:val="0"/>
      <w:marTop w:val="0"/>
      <w:marBottom w:val="0"/>
      <w:divBdr>
        <w:top w:val="none" w:sz="0" w:space="0" w:color="auto"/>
        <w:left w:val="none" w:sz="0" w:space="0" w:color="auto"/>
        <w:bottom w:val="none" w:sz="0" w:space="0" w:color="auto"/>
        <w:right w:val="none" w:sz="0" w:space="0" w:color="auto"/>
      </w:divBdr>
    </w:div>
    <w:div w:id="1821388643">
      <w:bodyDiv w:val="1"/>
      <w:marLeft w:val="0"/>
      <w:marRight w:val="0"/>
      <w:marTop w:val="0"/>
      <w:marBottom w:val="0"/>
      <w:divBdr>
        <w:top w:val="none" w:sz="0" w:space="0" w:color="auto"/>
        <w:left w:val="none" w:sz="0" w:space="0" w:color="auto"/>
        <w:bottom w:val="none" w:sz="0" w:space="0" w:color="auto"/>
        <w:right w:val="none" w:sz="0" w:space="0" w:color="auto"/>
      </w:divBdr>
    </w:div>
    <w:div w:id="1824076846">
      <w:bodyDiv w:val="1"/>
      <w:marLeft w:val="0"/>
      <w:marRight w:val="0"/>
      <w:marTop w:val="0"/>
      <w:marBottom w:val="0"/>
      <w:divBdr>
        <w:top w:val="none" w:sz="0" w:space="0" w:color="auto"/>
        <w:left w:val="none" w:sz="0" w:space="0" w:color="auto"/>
        <w:bottom w:val="none" w:sz="0" w:space="0" w:color="auto"/>
        <w:right w:val="none" w:sz="0" w:space="0" w:color="auto"/>
      </w:divBdr>
    </w:div>
    <w:div w:id="1826629277">
      <w:bodyDiv w:val="1"/>
      <w:marLeft w:val="0"/>
      <w:marRight w:val="0"/>
      <w:marTop w:val="0"/>
      <w:marBottom w:val="0"/>
      <w:divBdr>
        <w:top w:val="none" w:sz="0" w:space="0" w:color="auto"/>
        <w:left w:val="none" w:sz="0" w:space="0" w:color="auto"/>
        <w:bottom w:val="none" w:sz="0" w:space="0" w:color="auto"/>
        <w:right w:val="none" w:sz="0" w:space="0" w:color="auto"/>
      </w:divBdr>
    </w:div>
    <w:div w:id="1827239589">
      <w:bodyDiv w:val="1"/>
      <w:marLeft w:val="0"/>
      <w:marRight w:val="0"/>
      <w:marTop w:val="0"/>
      <w:marBottom w:val="0"/>
      <w:divBdr>
        <w:top w:val="none" w:sz="0" w:space="0" w:color="auto"/>
        <w:left w:val="none" w:sz="0" w:space="0" w:color="auto"/>
        <w:bottom w:val="none" w:sz="0" w:space="0" w:color="auto"/>
        <w:right w:val="none" w:sz="0" w:space="0" w:color="auto"/>
      </w:divBdr>
      <w:divsChild>
        <w:div w:id="2054845691">
          <w:marLeft w:val="0"/>
          <w:marRight w:val="0"/>
          <w:marTop w:val="0"/>
          <w:marBottom w:val="0"/>
          <w:divBdr>
            <w:top w:val="none" w:sz="0" w:space="0" w:color="auto"/>
            <w:left w:val="none" w:sz="0" w:space="0" w:color="auto"/>
            <w:bottom w:val="none" w:sz="0" w:space="0" w:color="auto"/>
            <w:right w:val="none" w:sz="0" w:space="0" w:color="auto"/>
          </w:divBdr>
        </w:div>
      </w:divsChild>
    </w:div>
    <w:div w:id="1829246408">
      <w:bodyDiv w:val="1"/>
      <w:marLeft w:val="0"/>
      <w:marRight w:val="0"/>
      <w:marTop w:val="0"/>
      <w:marBottom w:val="0"/>
      <w:divBdr>
        <w:top w:val="none" w:sz="0" w:space="0" w:color="auto"/>
        <w:left w:val="none" w:sz="0" w:space="0" w:color="auto"/>
        <w:bottom w:val="none" w:sz="0" w:space="0" w:color="auto"/>
        <w:right w:val="none" w:sz="0" w:space="0" w:color="auto"/>
      </w:divBdr>
    </w:div>
    <w:div w:id="1829325336">
      <w:bodyDiv w:val="1"/>
      <w:marLeft w:val="0"/>
      <w:marRight w:val="0"/>
      <w:marTop w:val="0"/>
      <w:marBottom w:val="0"/>
      <w:divBdr>
        <w:top w:val="none" w:sz="0" w:space="0" w:color="auto"/>
        <w:left w:val="none" w:sz="0" w:space="0" w:color="auto"/>
        <w:bottom w:val="none" w:sz="0" w:space="0" w:color="auto"/>
        <w:right w:val="none" w:sz="0" w:space="0" w:color="auto"/>
      </w:divBdr>
    </w:div>
    <w:div w:id="1852446597">
      <w:bodyDiv w:val="1"/>
      <w:marLeft w:val="0"/>
      <w:marRight w:val="0"/>
      <w:marTop w:val="0"/>
      <w:marBottom w:val="0"/>
      <w:divBdr>
        <w:top w:val="none" w:sz="0" w:space="0" w:color="auto"/>
        <w:left w:val="none" w:sz="0" w:space="0" w:color="auto"/>
        <w:bottom w:val="none" w:sz="0" w:space="0" w:color="auto"/>
        <w:right w:val="none" w:sz="0" w:space="0" w:color="auto"/>
      </w:divBdr>
    </w:div>
    <w:div w:id="1854999605">
      <w:bodyDiv w:val="1"/>
      <w:marLeft w:val="0"/>
      <w:marRight w:val="0"/>
      <w:marTop w:val="0"/>
      <w:marBottom w:val="0"/>
      <w:divBdr>
        <w:top w:val="none" w:sz="0" w:space="0" w:color="auto"/>
        <w:left w:val="none" w:sz="0" w:space="0" w:color="auto"/>
        <w:bottom w:val="none" w:sz="0" w:space="0" w:color="auto"/>
        <w:right w:val="none" w:sz="0" w:space="0" w:color="auto"/>
      </w:divBdr>
    </w:div>
    <w:div w:id="1857957619">
      <w:bodyDiv w:val="1"/>
      <w:marLeft w:val="0"/>
      <w:marRight w:val="0"/>
      <w:marTop w:val="0"/>
      <w:marBottom w:val="0"/>
      <w:divBdr>
        <w:top w:val="none" w:sz="0" w:space="0" w:color="auto"/>
        <w:left w:val="none" w:sz="0" w:space="0" w:color="auto"/>
        <w:bottom w:val="none" w:sz="0" w:space="0" w:color="auto"/>
        <w:right w:val="none" w:sz="0" w:space="0" w:color="auto"/>
      </w:divBdr>
    </w:div>
    <w:div w:id="1867449322">
      <w:bodyDiv w:val="1"/>
      <w:marLeft w:val="0"/>
      <w:marRight w:val="0"/>
      <w:marTop w:val="0"/>
      <w:marBottom w:val="0"/>
      <w:divBdr>
        <w:top w:val="none" w:sz="0" w:space="0" w:color="auto"/>
        <w:left w:val="none" w:sz="0" w:space="0" w:color="auto"/>
        <w:bottom w:val="none" w:sz="0" w:space="0" w:color="auto"/>
        <w:right w:val="none" w:sz="0" w:space="0" w:color="auto"/>
      </w:divBdr>
      <w:divsChild>
        <w:div w:id="192958673">
          <w:marLeft w:val="0"/>
          <w:marRight w:val="0"/>
          <w:marTop w:val="0"/>
          <w:marBottom w:val="0"/>
          <w:divBdr>
            <w:top w:val="none" w:sz="0" w:space="0" w:color="auto"/>
            <w:left w:val="none" w:sz="0" w:space="0" w:color="auto"/>
            <w:bottom w:val="none" w:sz="0" w:space="0" w:color="auto"/>
            <w:right w:val="none" w:sz="0" w:space="0" w:color="auto"/>
          </w:divBdr>
        </w:div>
        <w:div w:id="2100635975">
          <w:marLeft w:val="0"/>
          <w:marRight w:val="0"/>
          <w:marTop w:val="0"/>
          <w:marBottom w:val="0"/>
          <w:divBdr>
            <w:top w:val="none" w:sz="0" w:space="0" w:color="auto"/>
            <w:left w:val="none" w:sz="0" w:space="0" w:color="auto"/>
            <w:bottom w:val="none" w:sz="0" w:space="0" w:color="auto"/>
            <w:right w:val="none" w:sz="0" w:space="0" w:color="auto"/>
          </w:divBdr>
        </w:div>
      </w:divsChild>
    </w:div>
    <w:div w:id="1868250083">
      <w:bodyDiv w:val="1"/>
      <w:marLeft w:val="0"/>
      <w:marRight w:val="0"/>
      <w:marTop w:val="0"/>
      <w:marBottom w:val="0"/>
      <w:divBdr>
        <w:top w:val="none" w:sz="0" w:space="0" w:color="auto"/>
        <w:left w:val="none" w:sz="0" w:space="0" w:color="auto"/>
        <w:bottom w:val="none" w:sz="0" w:space="0" w:color="auto"/>
        <w:right w:val="none" w:sz="0" w:space="0" w:color="auto"/>
      </w:divBdr>
    </w:div>
    <w:div w:id="1869222575">
      <w:bodyDiv w:val="1"/>
      <w:marLeft w:val="0"/>
      <w:marRight w:val="0"/>
      <w:marTop w:val="0"/>
      <w:marBottom w:val="0"/>
      <w:divBdr>
        <w:top w:val="none" w:sz="0" w:space="0" w:color="auto"/>
        <w:left w:val="none" w:sz="0" w:space="0" w:color="auto"/>
        <w:bottom w:val="none" w:sz="0" w:space="0" w:color="auto"/>
        <w:right w:val="none" w:sz="0" w:space="0" w:color="auto"/>
      </w:divBdr>
    </w:div>
    <w:div w:id="1869489219">
      <w:bodyDiv w:val="1"/>
      <w:marLeft w:val="0"/>
      <w:marRight w:val="0"/>
      <w:marTop w:val="0"/>
      <w:marBottom w:val="0"/>
      <w:divBdr>
        <w:top w:val="none" w:sz="0" w:space="0" w:color="auto"/>
        <w:left w:val="none" w:sz="0" w:space="0" w:color="auto"/>
        <w:bottom w:val="none" w:sz="0" w:space="0" w:color="auto"/>
        <w:right w:val="none" w:sz="0" w:space="0" w:color="auto"/>
      </w:divBdr>
    </w:div>
    <w:div w:id="1870482442">
      <w:bodyDiv w:val="1"/>
      <w:marLeft w:val="0"/>
      <w:marRight w:val="0"/>
      <w:marTop w:val="0"/>
      <w:marBottom w:val="0"/>
      <w:divBdr>
        <w:top w:val="none" w:sz="0" w:space="0" w:color="auto"/>
        <w:left w:val="none" w:sz="0" w:space="0" w:color="auto"/>
        <w:bottom w:val="none" w:sz="0" w:space="0" w:color="auto"/>
        <w:right w:val="none" w:sz="0" w:space="0" w:color="auto"/>
      </w:divBdr>
    </w:div>
    <w:div w:id="1878465267">
      <w:bodyDiv w:val="1"/>
      <w:marLeft w:val="0"/>
      <w:marRight w:val="0"/>
      <w:marTop w:val="0"/>
      <w:marBottom w:val="0"/>
      <w:divBdr>
        <w:top w:val="none" w:sz="0" w:space="0" w:color="auto"/>
        <w:left w:val="none" w:sz="0" w:space="0" w:color="auto"/>
        <w:bottom w:val="none" w:sz="0" w:space="0" w:color="auto"/>
        <w:right w:val="none" w:sz="0" w:space="0" w:color="auto"/>
      </w:divBdr>
      <w:divsChild>
        <w:div w:id="989139813">
          <w:marLeft w:val="0"/>
          <w:marRight w:val="0"/>
          <w:marTop w:val="0"/>
          <w:marBottom w:val="0"/>
          <w:divBdr>
            <w:top w:val="none" w:sz="0" w:space="0" w:color="auto"/>
            <w:left w:val="none" w:sz="0" w:space="0" w:color="auto"/>
            <w:bottom w:val="none" w:sz="0" w:space="0" w:color="auto"/>
            <w:right w:val="none" w:sz="0" w:space="0" w:color="auto"/>
          </w:divBdr>
          <w:divsChild>
            <w:div w:id="1906181901">
              <w:marLeft w:val="0"/>
              <w:marRight w:val="0"/>
              <w:marTop w:val="0"/>
              <w:marBottom w:val="0"/>
              <w:divBdr>
                <w:top w:val="none" w:sz="0" w:space="0" w:color="auto"/>
                <w:left w:val="none" w:sz="0" w:space="0" w:color="auto"/>
                <w:bottom w:val="none" w:sz="0" w:space="0" w:color="auto"/>
                <w:right w:val="none" w:sz="0" w:space="0" w:color="auto"/>
              </w:divBdr>
              <w:divsChild>
                <w:div w:id="978194736">
                  <w:marLeft w:val="0"/>
                  <w:marRight w:val="0"/>
                  <w:marTop w:val="0"/>
                  <w:marBottom w:val="0"/>
                  <w:divBdr>
                    <w:top w:val="none" w:sz="0" w:space="0" w:color="auto"/>
                    <w:left w:val="none" w:sz="0" w:space="0" w:color="auto"/>
                    <w:bottom w:val="none" w:sz="0" w:space="0" w:color="auto"/>
                    <w:right w:val="none" w:sz="0" w:space="0" w:color="auto"/>
                  </w:divBdr>
                  <w:divsChild>
                    <w:div w:id="2108844240">
                      <w:marLeft w:val="0"/>
                      <w:marRight w:val="0"/>
                      <w:marTop w:val="0"/>
                      <w:marBottom w:val="0"/>
                      <w:divBdr>
                        <w:top w:val="none" w:sz="0" w:space="0" w:color="auto"/>
                        <w:left w:val="none" w:sz="0" w:space="0" w:color="auto"/>
                        <w:bottom w:val="none" w:sz="0" w:space="0" w:color="auto"/>
                        <w:right w:val="none" w:sz="0" w:space="0" w:color="auto"/>
                      </w:divBdr>
                    </w:div>
                    <w:div w:id="3766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9710">
              <w:marLeft w:val="0"/>
              <w:marRight w:val="0"/>
              <w:marTop w:val="0"/>
              <w:marBottom w:val="0"/>
              <w:divBdr>
                <w:top w:val="none" w:sz="0" w:space="0" w:color="auto"/>
                <w:left w:val="none" w:sz="0" w:space="0" w:color="auto"/>
                <w:bottom w:val="none" w:sz="0" w:space="0" w:color="auto"/>
                <w:right w:val="none" w:sz="0" w:space="0" w:color="auto"/>
              </w:divBdr>
              <w:divsChild>
                <w:div w:id="1854421239">
                  <w:marLeft w:val="0"/>
                  <w:marRight w:val="0"/>
                  <w:marTop w:val="0"/>
                  <w:marBottom w:val="0"/>
                  <w:divBdr>
                    <w:top w:val="none" w:sz="0" w:space="0" w:color="auto"/>
                    <w:left w:val="none" w:sz="0" w:space="0" w:color="auto"/>
                    <w:bottom w:val="none" w:sz="0" w:space="0" w:color="auto"/>
                    <w:right w:val="none" w:sz="0" w:space="0" w:color="auto"/>
                  </w:divBdr>
                  <w:divsChild>
                    <w:div w:id="181869950">
                      <w:marLeft w:val="0"/>
                      <w:marRight w:val="0"/>
                      <w:marTop w:val="0"/>
                      <w:marBottom w:val="0"/>
                      <w:divBdr>
                        <w:top w:val="none" w:sz="0" w:space="0" w:color="auto"/>
                        <w:left w:val="none" w:sz="0" w:space="0" w:color="auto"/>
                        <w:bottom w:val="none" w:sz="0" w:space="0" w:color="auto"/>
                        <w:right w:val="none" w:sz="0" w:space="0" w:color="auto"/>
                      </w:divBdr>
                    </w:div>
                    <w:div w:id="18740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23119">
          <w:marLeft w:val="0"/>
          <w:marRight w:val="0"/>
          <w:marTop w:val="0"/>
          <w:marBottom w:val="0"/>
          <w:divBdr>
            <w:top w:val="none" w:sz="0" w:space="0" w:color="auto"/>
            <w:left w:val="none" w:sz="0" w:space="0" w:color="auto"/>
            <w:bottom w:val="none" w:sz="0" w:space="0" w:color="auto"/>
            <w:right w:val="none" w:sz="0" w:space="0" w:color="auto"/>
          </w:divBdr>
          <w:divsChild>
            <w:div w:id="2524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68">
      <w:bodyDiv w:val="1"/>
      <w:marLeft w:val="0"/>
      <w:marRight w:val="0"/>
      <w:marTop w:val="0"/>
      <w:marBottom w:val="0"/>
      <w:divBdr>
        <w:top w:val="none" w:sz="0" w:space="0" w:color="auto"/>
        <w:left w:val="none" w:sz="0" w:space="0" w:color="auto"/>
        <w:bottom w:val="none" w:sz="0" w:space="0" w:color="auto"/>
        <w:right w:val="none" w:sz="0" w:space="0" w:color="auto"/>
      </w:divBdr>
    </w:div>
    <w:div w:id="1881286757">
      <w:bodyDiv w:val="1"/>
      <w:marLeft w:val="0"/>
      <w:marRight w:val="0"/>
      <w:marTop w:val="0"/>
      <w:marBottom w:val="0"/>
      <w:divBdr>
        <w:top w:val="none" w:sz="0" w:space="0" w:color="auto"/>
        <w:left w:val="none" w:sz="0" w:space="0" w:color="auto"/>
        <w:bottom w:val="none" w:sz="0" w:space="0" w:color="auto"/>
        <w:right w:val="none" w:sz="0" w:space="0" w:color="auto"/>
      </w:divBdr>
    </w:div>
    <w:div w:id="1884712553">
      <w:bodyDiv w:val="1"/>
      <w:marLeft w:val="0"/>
      <w:marRight w:val="0"/>
      <w:marTop w:val="0"/>
      <w:marBottom w:val="0"/>
      <w:divBdr>
        <w:top w:val="none" w:sz="0" w:space="0" w:color="auto"/>
        <w:left w:val="none" w:sz="0" w:space="0" w:color="auto"/>
        <w:bottom w:val="none" w:sz="0" w:space="0" w:color="auto"/>
        <w:right w:val="none" w:sz="0" w:space="0" w:color="auto"/>
      </w:divBdr>
    </w:div>
    <w:div w:id="1888567724">
      <w:bodyDiv w:val="1"/>
      <w:marLeft w:val="0"/>
      <w:marRight w:val="0"/>
      <w:marTop w:val="0"/>
      <w:marBottom w:val="0"/>
      <w:divBdr>
        <w:top w:val="none" w:sz="0" w:space="0" w:color="auto"/>
        <w:left w:val="none" w:sz="0" w:space="0" w:color="auto"/>
        <w:bottom w:val="none" w:sz="0" w:space="0" w:color="auto"/>
        <w:right w:val="none" w:sz="0" w:space="0" w:color="auto"/>
      </w:divBdr>
    </w:div>
    <w:div w:id="1893233038">
      <w:bodyDiv w:val="1"/>
      <w:marLeft w:val="0"/>
      <w:marRight w:val="0"/>
      <w:marTop w:val="0"/>
      <w:marBottom w:val="0"/>
      <w:divBdr>
        <w:top w:val="none" w:sz="0" w:space="0" w:color="auto"/>
        <w:left w:val="none" w:sz="0" w:space="0" w:color="auto"/>
        <w:bottom w:val="none" w:sz="0" w:space="0" w:color="auto"/>
        <w:right w:val="none" w:sz="0" w:space="0" w:color="auto"/>
      </w:divBdr>
    </w:div>
    <w:div w:id="1894537353">
      <w:bodyDiv w:val="1"/>
      <w:marLeft w:val="0"/>
      <w:marRight w:val="0"/>
      <w:marTop w:val="0"/>
      <w:marBottom w:val="0"/>
      <w:divBdr>
        <w:top w:val="none" w:sz="0" w:space="0" w:color="auto"/>
        <w:left w:val="none" w:sz="0" w:space="0" w:color="auto"/>
        <w:bottom w:val="none" w:sz="0" w:space="0" w:color="auto"/>
        <w:right w:val="none" w:sz="0" w:space="0" w:color="auto"/>
      </w:divBdr>
    </w:div>
    <w:div w:id="1894804435">
      <w:bodyDiv w:val="1"/>
      <w:marLeft w:val="0"/>
      <w:marRight w:val="0"/>
      <w:marTop w:val="0"/>
      <w:marBottom w:val="0"/>
      <w:divBdr>
        <w:top w:val="none" w:sz="0" w:space="0" w:color="auto"/>
        <w:left w:val="none" w:sz="0" w:space="0" w:color="auto"/>
        <w:bottom w:val="none" w:sz="0" w:space="0" w:color="auto"/>
        <w:right w:val="none" w:sz="0" w:space="0" w:color="auto"/>
      </w:divBdr>
    </w:div>
    <w:div w:id="1896350672">
      <w:bodyDiv w:val="1"/>
      <w:marLeft w:val="0"/>
      <w:marRight w:val="0"/>
      <w:marTop w:val="0"/>
      <w:marBottom w:val="0"/>
      <w:divBdr>
        <w:top w:val="none" w:sz="0" w:space="0" w:color="auto"/>
        <w:left w:val="none" w:sz="0" w:space="0" w:color="auto"/>
        <w:bottom w:val="none" w:sz="0" w:space="0" w:color="auto"/>
        <w:right w:val="none" w:sz="0" w:space="0" w:color="auto"/>
      </w:divBdr>
    </w:div>
    <w:div w:id="1896813977">
      <w:bodyDiv w:val="1"/>
      <w:marLeft w:val="0"/>
      <w:marRight w:val="0"/>
      <w:marTop w:val="0"/>
      <w:marBottom w:val="0"/>
      <w:divBdr>
        <w:top w:val="none" w:sz="0" w:space="0" w:color="auto"/>
        <w:left w:val="none" w:sz="0" w:space="0" w:color="auto"/>
        <w:bottom w:val="none" w:sz="0" w:space="0" w:color="auto"/>
        <w:right w:val="none" w:sz="0" w:space="0" w:color="auto"/>
      </w:divBdr>
    </w:div>
    <w:div w:id="1900479075">
      <w:bodyDiv w:val="1"/>
      <w:marLeft w:val="0"/>
      <w:marRight w:val="0"/>
      <w:marTop w:val="0"/>
      <w:marBottom w:val="0"/>
      <w:divBdr>
        <w:top w:val="none" w:sz="0" w:space="0" w:color="auto"/>
        <w:left w:val="none" w:sz="0" w:space="0" w:color="auto"/>
        <w:bottom w:val="none" w:sz="0" w:space="0" w:color="auto"/>
        <w:right w:val="none" w:sz="0" w:space="0" w:color="auto"/>
      </w:divBdr>
    </w:div>
    <w:div w:id="1901473578">
      <w:bodyDiv w:val="1"/>
      <w:marLeft w:val="0"/>
      <w:marRight w:val="0"/>
      <w:marTop w:val="0"/>
      <w:marBottom w:val="0"/>
      <w:divBdr>
        <w:top w:val="none" w:sz="0" w:space="0" w:color="auto"/>
        <w:left w:val="none" w:sz="0" w:space="0" w:color="auto"/>
        <w:bottom w:val="none" w:sz="0" w:space="0" w:color="auto"/>
        <w:right w:val="none" w:sz="0" w:space="0" w:color="auto"/>
      </w:divBdr>
      <w:divsChild>
        <w:div w:id="88742897">
          <w:marLeft w:val="0"/>
          <w:marRight w:val="0"/>
          <w:marTop w:val="0"/>
          <w:marBottom w:val="0"/>
          <w:divBdr>
            <w:top w:val="none" w:sz="0" w:space="0" w:color="auto"/>
            <w:left w:val="none" w:sz="0" w:space="0" w:color="auto"/>
            <w:bottom w:val="none" w:sz="0" w:space="0" w:color="auto"/>
            <w:right w:val="none" w:sz="0" w:space="0" w:color="auto"/>
          </w:divBdr>
        </w:div>
        <w:div w:id="194075544">
          <w:marLeft w:val="0"/>
          <w:marRight w:val="0"/>
          <w:marTop w:val="0"/>
          <w:marBottom w:val="0"/>
          <w:divBdr>
            <w:top w:val="none" w:sz="0" w:space="0" w:color="auto"/>
            <w:left w:val="none" w:sz="0" w:space="0" w:color="auto"/>
            <w:bottom w:val="none" w:sz="0" w:space="0" w:color="auto"/>
            <w:right w:val="none" w:sz="0" w:space="0" w:color="auto"/>
          </w:divBdr>
          <w:divsChild>
            <w:div w:id="139462710">
              <w:marLeft w:val="0"/>
              <w:marRight w:val="0"/>
              <w:marTop w:val="0"/>
              <w:marBottom w:val="0"/>
              <w:divBdr>
                <w:top w:val="none" w:sz="0" w:space="0" w:color="auto"/>
                <w:left w:val="none" w:sz="0" w:space="0" w:color="auto"/>
                <w:bottom w:val="none" w:sz="0" w:space="0" w:color="auto"/>
                <w:right w:val="none" w:sz="0" w:space="0" w:color="auto"/>
              </w:divBdr>
            </w:div>
          </w:divsChild>
        </w:div>
        <w:div w:id="1675111340">
          <w:marLeft w:val="0"/>
          <w:marRight w:val="0"/>
          <w:marTop w:val="0"/>
          <w:marBottom w:val="0"/>
          <w:divBdr>
            <w:top w:val="none" w:sz="0" w:space="0" w:color="auto"/>
            <w:left w:val="none" w:sz="0" w:space="0" w:color="auto"/>
            <w:bottom w:val="none" w:sz="0" w:space="0" w:color="auto"/>
            <w:right w:val="none" w:sz="0" w:space="0" w:color="auto"/>
          </w:divBdr>
        </w:div>
      </w:divsChild>
    </w:div>
    <w:div w:id="1902057764">
      <w:bodyDiv w:val="1"/>
      <w:marLeft w:val="0"/>
      <w:marRight w:val="0"/>
      <w:marTop w:val="0"/>
      <w:marBottom w:val="0"/>
      <w:divBdr>
        <w:top w:val="none" w:sz="0" w:space="0" w:color="auto"/>
        <w:left w:val="none" w:sz="0" w:space="0" w:color="auto"/>
        <w:bottom w:val="none" w:sz="0" w:space="0" w:color="auto"/>
        <w:right w:val="none" w:sz="0" w:space="0" w:color="auto"/>
      </w:divBdr>
    </w:div>
    <w:div w:id="1902521461">
      <w:bodyDiv w:val="1"/>
      <w:marLeft w:val="0"/>
      <w:marRight w:val="0"/>
      <w:marTop w:val="0"/>
      <w:marBottom w:val="0"/>
      <w:divBdr>
        <w:top w:val="none" w:sz="0" w:space="0" w:color="auto"/>
        <w:left w:val="none" w:sz="0" w:space="0" w:color="auto"/>
        <w:bottom w:val="none" w:sz="0" w:space="0" w:color="auto"/>
        <w:right w:val="none" w:sz="0" w:space="0" w:color="auto"/>
      </w:divBdr>
      <w:divsChild>
        <w:div w:id="355814707">
          <w:marLeft w:val="0"/>
          <w:marRight w:val="0"/>
          <w:marTop w:val="0"/>
          <w:marBottom w:val="0"/>
          <w:divBdr>
            <w:top w:val="none" w:sz="0" w:space="0" w:color="auto"/>
            <w:left w:val="none" w:sz="0" w:space="0" w:color="auto"/>
            <w:bottom w:val="none" w:sz="0" w:space="0" w:color="auto"/>
            <w:right w:val="none" w:sz="0" w:space="0" w:color="auto"/>
          </w:divBdr>
        </w:div>
        <w:div w:id="1081213932">
          <w:marLeft w:val="0"/>
          <w:marRight w:val="0"/>
          <w:marTop w:val="0"/>
          <w:marBottom w:val="0"/>
          <w:divBdr>
            <w:top w:val="none" w:sz="0" w:space="0" w:color="auto"/>
            <w:left w:val="none" w:sz="0" w:space="0" w:color="auto"/>
            <w:bottom w:val="none" w:sz="0" w:space="0" w:color="auto"/>
            <w:right w:val="none" w:sz="0" w:space="0" w:color="auto"/>
          </w:divBdr>
        </w:div>
      </w:divsChild>
    </w:div>
    <w:div w:id="1903104435">
      <w:bodyDiv w:val="1"/>
      <w:marLeft w:val="0"/>
      <w:marRight w:val="0"/>
      <w:marTop w:val="0"/>
      <w:marBottom w:val="0"/>
      <w:divBdr>
        <w:top w:val="none" w:sz="0" w:space="0" w:color="auto"/>
        <w:left w:val="none" w:sz="0" w:space="0" w:color="auto"/>
        <w:bottom w:val="none" w:sz="0" w:space="0" w:color="auto"/>
        <w:right w:val="none" w:sz="0" w:space="0" w:color="auto"/>
      </w:divBdr>
    </w:div>
    <w:div w:id="1908757475">
      <w:bodyDiv w:val="1"/>
      <w:marLeft w:val="0"/>
      <w:marRight w:val="0"/>
      <w:marTop w:val="0"/>
      <w:marBottom w:val="0"/>
      <w:divBdr>
        <w:top w:val="none" w:sz="0" w:space="0" w:color="auto"/>
        <w:left w:val="none" w:sz="0" w:space="0" w:color="auto"/>
        <w:bottom w:val="none" w:sz="0" w:space="0" w:color="auto"/>
        <w:right w:val="none" w:sz="0" w:space="0" w:color="auto"/>
      </w:divBdr>
    </w:div>
    <w:div w:id="1908999811">
      <w:bodyDiv w:val="1"/>
      <w:marLeft w:val="0"/>
      <w:marRight w:val="0"/>
      <w:marTop w:val="0"/>
      <w:marBottom w:val="0"/>
      <w:divBdr>
        <w:top w:val="none" w:sz="0" w:space="0" w:color="auto"/>
        <w:left w:val="none" w:sz="0" w:space="0" w:color="auto"/>
        <w:bottom w:val="none" w:sz="0" w:space="0" w:color="auto"/>
        <w:right w:val="none" w:sz="0" w:space="0" w:color="auto"/>
      </w:divBdr>
    </w:div>
    <w:div w:id="1909732000">
      <w:bodyDiv w:val="1"/>
      <w:marLeft w:val="0"/>
      <w:marRight w:val="0"/>
      <w:marTop w:val="0"/>
      <w:marBottom w:val="0"/>
      <w:divBdr>
        <w:top w:val="none" w:sz="0" w:space="0" w:color="auto"/>
        <w:left w:val="none" w:sz="0" w:space="0" w:color="auto"/>
        <w:bottom w:val="none" w:sz="0" w:space="0" w:color="auto"/>
        <w:right w:val="none" w:sz="0" w:space="0" w:color="auto"/>
      </w:divBdr>
    </w:div>
    <w:div w:id="1915042467">
      <w:bodyDiv w:val="1"/>
      <w:marLeft w:val="0"/>
      <w:marRight w:val="0"/>
      <w:marTop w:val="0"/>
      <w:marBottom w:val="0"/>
      <w:divBdr>
        <w:top w:val="none" w:sz="0" w:space="0" w:color="auto"/>
        <w:left w:val="none" w:sz="0" w:space="0" w:color="auto"/>
        <w:bottom w:val="none" w:sz="0" w:space="0" w:color="auto"/>
        <w:right w:val="none" w:sz="0" w:space="0" w:color="auto"/>
      </w:divBdr>
    </w:div>
    <w:div w:id="1926374023">
      <w:bodyDiv w:val="1"/>
      <w:marLeft w:val="0"/>
      <w:marRight w:val="0"/>
      <w:marTop w:val="0"/>
      <w:marBottom w:val="0"/>
      <w:divBdr>
        <w:top w:val="none" w:sz="0" w:space="0" w:color="auto"/>
        <w:left w:val="none" w:sz="0" w:space="0" w:color="auto"/>
        <w:bottom w:val="none" w:sz="0" w:space="0" w:color="auto"/>
        <w:right w:val="none" w:sz="0" w:space="0" w:color="auto"/>
      </w:divBdr>
    </w:div>
    <w:div w:id="1933706115">
      <w:bodyDiv w:val="1"/>
      <w:marLeft w:val="0"/>
      <w:marRight w:val="0"/>
      <w:marTop w:val="0"/>
      <w:marBottom w:val="0"/>
      <w:divBdr>
        <w:top w:val="none" w:sz="0" w:space="0" w:color="auto"/>
        <w:left w:val="none" w:sz="0" w:space="0" w:color="auto"/>
        <w:bottom w:val="none" w:sz="0" w:space="0" w:color="auto"/>
        <w:right w:val="none" w:sz="0" w:space="0" w:color="auto"/>
      </w:divBdr>
      <w:divsChild>
        <w:div w:id="26370111">
          <w:marLeft w:val="0"/>
          <w:marRight w:val="0"/>
          <w:marTop w:val="0"/>
          <w:marBottom w:val="0"/>
          <w:divBdr>
            <w:top w:val="none" w:sz="0" w:space="0" w:color="auto"/>
            <w:left w:val="none" w:sz="0" w:space="0" w:color="auto"/>
            <w:bottom w:val="none" w:sz="0" w:space="0" w:color="auto"/>
            <w:right w:val="none" w:sz="0" w:space="0" w:color="auto"/>
          </w:divBdr>
          <w:divsChild>
            <w:div w:id="940064541">
              <w:marLeft w:val="0"/>
              <w:marRight w:val="0"/>
              <w:marTop w:val="0"/>
              <w:marBottom w:val="0"/>
              <w:divBdr>
                <w:top w:val="none" w:sz="0" w:space="0" w:color="auto"/>
                <w:left w:val="none" w:sz="0" w:space="0" w:color="auto"/>
                <w:bottom w:val="none" w:sz="0" w:space="0" w:color="auto"/>
                <w:right w:val="none" w:sz="0" w:space="0" w:color="auto"/>
              </w:divBdr>
              <w:divsChild>
                <w:div w:id="1059087245">
                  <w:marLeft w:val="0"/>
                  <w:marRight w:val="0"/>
                  <w:marTop w:val="0"/>
                  <w:marBottom w:val="0"/>
                  <w:divBdr>
                    <w:top w:val="none" w:sz="0" w:space="0" w:color="auto"/>
                    <w:left w:val="none" w:sz="0" w:space="0" w:color="auto"/>
                    <w:bottom w:val="none" w:sz="0" w:space="0" w:color="auto"/>
                    <w:right w:val="none" w:sz="0" w:space="0" w:color="auto"/>
                  </w:divBdr>
                  <w:divsChild>
                    <w:div w:id="1730955924">
                      <w:marLeft w:val="0"/>
                      <w:marRight w:val="0"/>
                      <w:marTop w:val="0"/>
                      <w:marBottom w:val="0"/>
                      <w:divBdr>
                        <w:top w:val="none" w:sz="0" w:space="0" w:color="auto"/>
                        <w:left w:val="none" w:sz="0" w:space="0" w:color="auto"/>
                        <w:bottom w:val="none" w:sz="0" w:space="0" w:color="auto"/>
                        <w:right w:val="none" w:sz="0" w:space="0" w:color="auto"/>
                      </w:divBdr>
                      <w:divsChild>
                        <w:div w:id="1492217963">
                          <w:marLeft w:val="0"/>
                          <w:marRight w:val="0"/>
                          <w:marTop w:val="0"/>
                          <w:marBottom w:val="0"/>
                          <w:divBdr>
                            <w:top w:val="none" w:sz="0" w:space="0" w:color="auto"/>
                            <w:left w:val="none" w:sz="0" w:space="0" w:color="auto"/>
                            <w:bottom w:val="none" w:sz="0" w:space="0" w:color="auto"/>
                            <w:right w:val="none" w:sz="0" w:space="0" w:color="auto"/>
                          </w:divBdr>
                          <w:divsChild>
                            <w:div w:id="1672638631">
                              <w:marLeft w:val="0"/>
                              <w:marRight w:val="0"/>
                              <w:marTop w:val="0"/>
                              <w:marBottom w:val="0"/>
                              <w:divBdr>
                                <w:top w:val="none" w:sz="0" w:space="0" w:color="auto"/>
                                <w:left w:val="none" w:sz="0" w:space="0" w:color="auto"/>
                                <w:bottom w:val="none" w:sz="0" w:space="0" w:color="auto"/>
                                <w:right w:val="none" w:sz="0" w:space="0" w:color="auto"/>
                              </w:divBdr>
                              <w:divsChild>
                                <w:div w:id="822967918">
                                  <w:marLeft w:val="0"/>
                                  <w:marRight w:val="0"/>
                                  <w:marTop w:val="0"/>
                                  <w:marBottom w:val="0"/>
                                  <w:divBdr>
                                    <w:top w:val="none" w:sz="0" w:space="0" w:color="auto"/>
                                    <w:left w:val="none" w:sz="0" w:space="0" w:color="auto"/>
                                    <w:bottom w:val="none" w:sz="0" w:space="0" w:color="auto"/>
                                    <w:right w:val="none" w:sz="0" w:space="0" w:color="auto"/>
                                  </w:divBdr>
                                  <w:divsChild>
                                    <w:div w:id="116112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918008">
              <w:marLeft w:val="0"/>
              <w:marRight w:val="0"/>
              <w:marTop w:val="0"/>
              <w:marBottom w:val="0"/>
              <w:divBdr>
                <w:top w:val="none" w:sz="0" w:space="0" w:color="auto"/>
                <w:left w:val="none" w:sz="0" w:space="0" w:color="auto"/>
                <w:bottom w:val="none" w:sz="0" w:space="0" w:color="auto"/>
                <w:right w:val="none" w:sz="0" w:space="0" w:color="auto"/>
              </w:divBdr>
              <w:divsChild>
                <w:div w:id="15129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004">
          <w:marLeft w:val="0"/>
          <w:marRight w:val="0"/>
          <w:marTop w:val="0"/>
          <w:marBottom w:val="0"/>
          <w:divBdr>
            <w:top w:val="none" w:sz="0" w:space="0" w:color="auto"/>
            <w:left w:val="none" w:sz="0" w:space="0" w:color="auto"/>
            <w:bottom w:val="none" w:sz="0" w:space="0" w:color="auto"/>
            <w:right w:val="none" w:sz="0" w:space="0" w:color="auto"/>
          </w:divBdr>
          <w:divsChild>
            <w:div w:id="2057653483">
              <w:marLeft w:val="0"/>
              <w:marRight w:val="0"/>
              <w:marTop w:val="0"/>
              <w:marBottom w:val="0"/>
              <w:divBdr>
                <w:top w:val="none" w:sz="0" w:space="0" w:color="auto"/>
                <w:left w:val="none" w:sz="0" w:space="0" w:color="auto"/>
                <w:bottom w:val="none" w:sz="0" w:space="0" w:color="auto"/>
                <w:right w:val="none" w:sz="0" w:space="0" w:color="auto"/>
              </w:divBdr>
              <w:divsChild>
                <w:div w:id="101923484">
                  <w:marLeft w:val="0"/>
                  <w:marRight w:val="0"/>
                  <w:marTop w:val="0"/>
                  <w:marBottom w:val="0"/>
                  <w:divBdr>
                    <w:top w:val="none" w:sz="0" w:space="0" w:color="auto"/>
                    <w:left w:val="none" w:sz="0" w:space="0" w:color="auto"/>
                    <w:bottom w:val="none" w:sz="0" w:space="0" w:color="auto"/>
                    <w:right w:val="none" w:sz="0" w:space="0" w:color="auto"/>
                  </w:divBdr>
                  <w:divsChild>
                    <w:div w:id="16679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03277">
      <w:bodyDiv w:val="1"/>
      <w:marLeft w:val="0"/>
      <w:marRight w:val="0"/>
      <w:marTop w:val="0"/>
      <w:marBottom w:val="0"/>
      <w:divBdr>
        <w:top w:val="none" w:sz="0" w:space="0" w:color="auto"/>
        <w:left w:val="none" w:sz="0" w:space="0" w:color="auto"/>
        <w:bottom w:val="none" w:sz="0" w:space="0" w:color="auto"/>
        <w:right w:val="none" w:sz="0" w:space="0" w:color="auto"/>
      </w:divBdr>
    </w:div>
    <w:div w:id="1938053015">
      <w:bodyDiv w:val="1"/>
      <w:marLeft w:val="0"/>
      <w:marRight w:val="0"/>
      <w:marTop w:val="0"/>
      <w:marBottom w:val="0"/>
      <w:divBdr>
        <w:top w:val="none" w:sz="0" w:space="0" w:color="auto"/>
        <w:left w:val="none" w:sz="0" w:space="0" w:color="auto"/>
        <w:bottom w:val="none" w:sz="0" w:space="0" w:color="auto"/>
        <w:right w:val="none" w:sz="0" w:space="0" w:color="auto"/>
      </w:divBdr>
    </w:div>
    <w:div w:id="1939369862">
      <w:bodyDiv w:val="1"/>
      <w:marLeft w:val="0"/>
      <w:marRight w:val="0"/>
      <w:marTop w:val="0"/>
      <w:marBottom w:val="0"/>
      <w:divBdr>
        <w:top w:val="none" w:sz="0" w:space="0" w:color="auto"/>
        <w:left w:val="none" w:sz="0" w:space="0" w:color="auto"/>
        <w:bottom w:val="none" w:sz="0" w:space="0" w:color="auto"/>
        <w:right w:val="none" w:sz="0" w:space="0" w:color="auto"/>
      </w:divBdr>
    </w:div>
    <w:div w:id="1940527311">
      <w:bodyDiv w:val="1"/>
      <w:marLeft w:val="0"/>
      <w:marRight w:val="0"/>
      <w:marTop w:val="0"/>
      <w:marBottom w:val="0"/>
      <w:divBdr>
        <w:top w:val="none" w:sz="0" w:space="0" w:color="auto"/>
        <w:left w:val="none" w:sz="0" w:space="0" w:color="auto"/>
        <w:bottom w:val="none" w:sz="0" w:space="0" w:color="auto"/>
        <w:right w:val="none" w:sz="0" w:space="0" w:color="auto"/>
      </w:divBdr>
      <w:divsChild>
        <w:div w:id="591621293">
          <w:marLeft w:val="0"/>
          <w:marRight w:val="0"/>
          <w:marTop w:val="0"/>
          <w:marBottom w:val="180"/>
          <w:divBdr>
            <w:top w:val="none" w:sz="0" w:space="0" w:color="auto"/>
            <w:left w:val="none" w:sz="0" w:space="0" w:color="auto"/>
            <w:bottom w:val="none" w:sz="0" w:space="0" w:color="auto"/>
            <w:right w:val="none" w:sz="0" w:space="0" w:color="auto"/>
          </w:divBdr>
        </w:div>
        <w:div w:id="1246380964">
          <w:marLeft w:val="0"/>
          <w:marRight w:val="0"/>
          <w:marTop w:val="0"/>
          <w:marBottom w:val="360"/>
          <w:divBdr>
            <w:top w:val="none" w:sz="0" w:space="0" w:color="auto"/>
            <w:left w:val="none" w:sz="0" w:space="0" w:color="auto"/>
            <w:bottom w:val="none" w:sz="0" w:space="0" w:color="auto"/>
            <w:right w:val="none" w:sz="0" w:space="0" w:color="auto"/>
          </w:divBdr>
        </w:div>
        <w:div w:id="1384133120">
          <w:marLeft w:val="0"/>
          <w:marRight w:val="0"/>
          <w:marTop w:val="0"/>
          <w:marBottom w:val="0"/>
          <w:divBdr>
            <w:top w:val="none" w:sz="0" w:space="0" w:color="auto"/>
            <w:left w:val="none" w:sz="0" w:space="0" w:color="auto"/>
            <w:bottom w:val="none" w:sz="0" w:space="0" w:color="auto"/>
            <w:right w:val="none" w:sz="0" w:space="0" w:color="auto"/>
          </w:divBdr>
          <w:divsChild>
            <w:div w:id="1269775967">
              <w:marLeft w:val="0"/>
              <w:marRight w:val="0"/>
              <w:marTop w:val="0"/>
              <w:marBottom w:val="0"/>
              <w:divBdr>
                <w:top w:val="none" w:sz="0" w:space="0" w:color="auto"/>
                <w:left w:val="none" w:sz="0" w:space="0" w:color="auto"/>
                <w:bottom w:val="none" w:sz="0" w:space="0" w:color="auto"/>
                <w:right w:val="none" w:sz="0" w:space="0" w:color="auto"/>
              </w:divBdr>
              <w:divsChild>
                <w:div w:id="153638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643015">
      <w:bodyDiv w:val="1"/>
      <w:marLeft w:val="0"/>
      <w:marRight w:val="0"/>
      <w:marTop w:val="0"/>
      <w:marBottom w:val="0"/>
      <w:divBdr>
        <w:top w:val="none" w:sz="0" w:space="0" w:color="auto"/>
        <w:left w:val="none" w:sz="0" w:space="0" w:color="auto"/>
        <w:bottom w:val="none" w:sz="0" w:space="0" w:color="auto"/>
        <w:right w:val="none" w:sz="0" w:space="0" w:color="auto"/>
      </w:divBdr>
      <w:divsChild>
        <w:div w:id="473452302">
          <w:marLeft w:val="0"/>
          <w:marRight w:val="0"/>
          <w:marTop w:val="0"/>
          <w:marBottom w:val="0"/>
          <w:divBdr>
            <w:top w:val="none" w:sz="0" w:space="0" w:color="auto"/>
            <w:left w:val="none" w:sz="0" w:space="0" w:color="auto"/>
            <w:bottom w:val="none" w:sz="0" w:space="0" w:color="auto"/>
            <w:right w:val="none" w:sz="0" w:space="0" w:color="auto"/>
          </w:divBdr>
          <w:divsChild>
            <w:div w:id="494763735">
              <w:marLeft w:val="0"/>
              <w:marRight w:val="0"/>
              <w:marTop w:val="0"/>
              <w:marBottom w:val="0"/>
              <w:divBdr>
                <w:top w:val="none" w:sz="0" w:space="0" w:color="auto"/>
                <w:left w:val="none" w:sz="0" w:space="0" w:color="auto"/>
                <w:bottom w:val="none" w:sz="0" w:space="0" w:color="auto"/>
                <w:right w:val="none" w:sz="0" w:space="0" w:color="auto"/>
              </w:divBdr>
              <w:divsChild>
                <w:div w:id="499656541">
                  <w:marLeft w:val="0"/>
                  <w:marRight w:val="0"/>
                  <w:marTop w:val="0"/>
                  <w:marBottom w:val="0"/>
                  <w:divBdr>
                    <w:top w:val="none" w:sz="0" w:space="0" w:color="auto"/>
                    <w:left w:val="none" w:sz="0" w:space="0" w:color="auto"/>
                    <w:bottom w:val="none" w:sz="0" w:space="0" w:color="auto"/>
                    <w:right w:val="none" w:sz="0" w:space="0" w:color="auto"/>
                  </w:divBdr>
                  <w:divsChild>
                    <w:div w:id="19246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051563">
      <w:bodyDiv w:val="1"/>
      <w:marLeft w:val="0"/>
      <w:marRight w:val="0"/>
      <w:marTop w:val="0"/>
      <w:marBottom w:val="0"/>
      <w:divBdr>
        <w:top w:val="none" w:sz="0" w:space="0" w:color="auto"/>
        <w:left w:val="none" w:sz="0" w:space="0" w:color="auto"/>
        <w:bottom w:val="none" w:sz="0" w:space="0" w:color="auto"/>
        <w:right w:val="none" w:sz="0" w:space="0" w:color="auto"/>
      </w:divBdr>
    </w:div>
    <w:div w:id="1960837760">
      <w:bodyDiv w:val="1"/>
      <w:marLeft w:val="0"/>
      <w:marRight w:val="0"/>
      <w:marTop w:val="0"/>
      <w:marBottom w:val="0"/>
      <w:divBdr>
        <w:top w:val="none" w:sz="0" w:space="0" w:color="auto"/>
        <w:left w:val="none" w:sz="0" w:space="0" w:color="auto"/>
        <w:bottom w:val="none" w:sz="0" w:space="0" w:color="auto"/>
        <w:right w:val="none" w:sz="0" w:space="0" w:color="auto"/>
      </w:divBdr>
    </w:div>
    <w:div w:id="1969623716">
      <w:bodyDiv w:val="1"/>
      <w:marLeft w:val="0"/>
      <w:marRight w:val="0"/>
      <w:marTop w:val="0"/>
      <w:marBottom w:val="0"/>
      <w:divBdr>
        <w:top w:val="none" w:sz="0" w:space="0" w:color="auto"/>
        <w:left w:val="none" w:sz="0" w:space="0" w:color="auto"/>
        <w:bottom w:val="none" w:sz="0" w:space="0" w:color="auto"/>
        <w:right w:val="none" w:sz="0" w:space="0" w:color="auto"/>
      </w:divBdr>
    </w:div>
    <w:div w:id="1971745977">
      <w:bodyDiv w:val="1"/>
      <w:marLeft w:val="0"/>
      <w:marRight w:val="0"/>
      <w:marTop w:val="0"/>
      <w:marBottom w:val="0"/>
      <w:divBdr>
        <w:top w:val="none" w:sz="0" w:space="0" w:color="auto"/>
        <w:left w:val="none" w:sz="0" w:space="0" w:color="auto"/>
        <w:bottom w:val="none" w:sz="0" w:space="0" w:color="auto"/>
        <w:right w:val="none" w:sz="0" w:space="0" w:color="auto"/>
      </w:divBdr>
    </w:div>
    <w:div w:id="1972513388">
      <w:bodyDiv w:val="1"/>
      <w:marLeft w:val="0"/>
      <w:marRight w:val="0"/>
      <w:marTop w:val="0"/>
      <w:marBottom w:val="0"/>
      <w:divBdr>
        <w:top w:val="none" w:sz="0" w:space="0" w:color="auto"/>
        <w:left w:val="none" w:sz="0" w:space="0" w:color="auto"/>
        <w:bottom w:val="none" w:sz="0" w:space="0" w:color="auto"/>
        <w:right w:val="none" w:sz="0" w:space="0" w:color="auto"/>
      </w:divBdr>
      <w:divsChild>
        <w:div w:id="1850486804">
          <w:marLeft w:val="0"/>
          <w:marRight w:val="0"/>
          <w:marTop w:val="0"/>
          <w:marBottom w:val="0"/>
          <w:divBdr>
            <w:top w:val="none" w:sz="0" w:space="0" w:color="auto"/>
            <w:left w:val="none" w:sz="0" w:space="0" w:color="auto"/>
            <w:bottom w:val="none" w:sz="0" w:space="0" w:color="auto"/>
            <w:right w:val="none" w:sz="0" w:space="0" w:color="auto"/>
          </w:divBdr>
        </w:div>
      </w:divsChild>
    </w:div>
    <w:div w:id="1979216507">
      <w:bodyDiv w:val="1"/>
      <w:marLeft w:val="0"/>
      <w:marRight w:val="0"/>
      <w:marTop w:val="0"/>
      <w:marBottom w:val="0"/>
      <w:divBdr>
        <w:top w:val="none" w:sz="0" w:space="0" w:color="auto"/>
        <w:left w:val="none" w:sz="0" w:space="0" w:color="auto"/>
        <w:bottom w:val="none" w:sz="0" w:space="0" w:color="auto"/>
        <w:right w:val="none" w:sz="0" w:space="0" w:color="auto"/>
      </w:divBdr>
    </w:div>
    <w:div w:id="1982153763">
      <w:bodyDiv w:val="1"/>
      <w:marLeft w:val="0"/>
      <w:marRight w:val="0"/>
      <w:marTop w:val="0"/>
      <w:marBottom w:val="0"/>
      <w:divBdr>
        <w:top w:val="none" w:sz="0" w:space="0" w:color="auto"/>
        <w:left w:val="none" w:sz="0" w:space="0" w:color="auto"/>
        <w:bottom w:val="none" w:sz="0" w:space="0" w:color="auto"/>
        <w:right w:val="none" w:sz="0" w:space="0" w:color="auto"/>
      </w:divBdr>
    </w:div>
    <w:div w:id="1983343491">
      <w:bodyDiv w:val="1"/>
      <w:marLeft w:val="0"/>
      <w:marRight w:val="0"/>
      <w:marTop w:val="0"/>
      <w:marBottom w:val="0"/>
      <w:divBdr>
        <w:top w:val="none" w:sz="0" w:space="0" w:color="auto"/>
        <w:left w:val="none" w:sz="0" w:space="0" w:color="auto"/>
        <w:bottom w:val="none" w:sz="0" w:space="0" w:color="auto"/>
        <w:right w:val="none" w:sz="0" w:space="0" w:color="auto"/>
      </w:divBdr>
    </w:div>
    <w:div w:id="1993484352">
      <w:bodyDiv w:val="1"/>
      <w:marLeft w:val="0"/>
      <w:marRight w:val="0"/>
      <w:marTop w:val="0"/>
      <w:marBottom w:val="0"/>
      <w:divBdr>
        <w:top w:val="none" w:sz="0" w:space="0" w:color="auto"/>
        <w:left w:val="none" w:sz="0" w:space="0" w:color="auto"/>
        <w:bottom w:val="none" w:sz="0" w:space="0" w:color="auto"/>
        <w:right w:val="none" w:sz="0" w:space="0" w:color="auto"/>
      </w:divBdr>
      <w:divsChild>
        <w:div w:id="350379188">
          <w:marLeft w:val="0"/>
          <w:marRight w:val="0"/>
          <w:marTop w:val="0"/>
          <w:marBottom w:val="0"/>
          <w:divBdr>
            <w:top w:val="none" w:sz="0" w:space="0" w:color="auto"/>
            <w:left w:val="none" w:sz="0" w:space="0" w:color="auto"/>
            <w:bottom w:val="none" w:sz="0" w:space="0" w:color="auto"/>
            <w:right w:val="none" w:sz="0" w:space="0" w:color="auto"/>
          </w:divBdr>
          <w:divsChild>
            <w:div w:id="17011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3449">
      <w:bodyDiv w:val="1"/>
      <w:marLeft w:val="0"/>
      <w:marRight w:val="0"/>
      <w:marTop w:val="0"/>
      <w:marBottom w:val="0"/>
      <w:divBdr>
        <w:top w:val="none" w:sz="0" w:space="0" w:color="auto"/>
        <w:left w:val="none" w:sz="0" w:space="0" w:color="auto"/>
        <w:bottom w:val="none" w:sz="0" w:space="0" w:color="auto"/>
        <w:right w:val="none" w:sz="0" w:space="0" w:color="auto"/>
      </w:divBdr>
    </w:div>
    <w:div w:id="1998075000">
      <w:bodyDiv w:val="1"/>
      <w:marLeft w:val="0"/>
      <w:marRight w:val="0"/>
      <w:marTop w:val="0"/>
      <w:marBottom w:val="0"/>
      <w:divBdr>
        <w:top w:val="none" w:sz="0" w:space="0" w:color="auto"/>
        <w:left w:val="none" w:sz="0" w:space="0" w:color="auto"/>
        <w:bottom w:val="none" w:sz="0" w:space="0" w:color="auto"/>
        <w:right w:val="none" w:sz="0" w:space="0" w:color="auto"/>
      </w:divBdr>
      <w:divsChild>
        <w:div w:id="23136486">
          <w:marLeft w:val="0"/>
          <w:marRight w:val="0"/>
          <w:marTop w:val="0"/>
          <w:marBottom w:val="0"/>
          <w:divBdr>
            <w:top w:val="none" w:sz="0" w:space="0" w:color="auto"/>
            <w:left w:val="none" w:sz="0" w:space="0" w:color="auto"/>
            <w:bottom w:val="none" w:sz="0" w:space="0" w:color="auto"/>
            <w:right w:val="none" w:sz="0" w:space="0" w:color="auto"/>
          </w:divBdr>
        </w:div>
        <w:div w:id="39864395">
          <w:marLeft w:val="0"/>
          <w:marRight w:val="0"/>
          <w:marTop w:val="0"/>
          <w:marBottom w:val="0"/>
          <w:divBdr>
            <w:top w:val="none" w:sz="0" w:space="0" w:color="auto"/>
            <w:left w:val="none" w:sz="0" w:space="0" w:color="auto"/>
            <w:bottom w:val="none" w:sz="0" w:space="0" w:color="auto"/>
            <w:right w:val="none" w:sz="0" w:space="0" w:color="auto"/>
          </w:divBdr>
        </w:div>
        <w:div w:id="164170737">
          <w:marLeft w:val="0"/>
          <w:marRight w:val="0"/>
          <w:marTop w:val="0"/>
          <w:marBottom w:val="0"/>
          <w:divBdr>
            <w:top w:val="none" w:sz="0" w:space="0" w:color="auto"/>
            <w:left w:val="none" w:sz="0" w:space="0" w:color="auto"/>
            <w:bottom w:val="none" w:sz="0" w:space="0" w:color="auto"/>
            <w:right w:val="none" w:sz="0" w:space="0" w:color="auto"/>
          </w:divBdr>
        </w:div>
        <w:div w:id="262569160">
          <w:marLeft w:val="0"/>
          <w:marRight w:val="0"/>
          <w:marTop w:val="0"/>
          <w:marBottom w:val="0"/>
          <w:divBdr>
            <w:top w:val="none" w:sz="0" w:space="0" w:color="auto"/>
            <w:left w:val="none" w:sz="0" w:space="0" w:color="auto"/>
            <w:bottom w:val="none" w:sz="0" w:space="0" w:color="auto"/>
            <w:right w:val="none" w:sz="0" w:space="0" w:color="auto"/>
          </w:divBdr>
        </w:div>
        <w:div w:id="323708386">
          <w:marLeft w:val="0"/>
          <w:marRight w:val="0"/>
          <w:marTop w:val="0"/>
          <w:marBottom w:val="0"/>
          <w:divBdr>
            <w:top w:val="none" w:sz="0" w:space="0" w:color="auto"/>
            <w:left w:val="none" w:sz="0" w:space="0" w:color="auto"/>
            <w:bottom w:val="none" w:sz="0" w:space="0" w:color="auto"/>
            <w:right w:val="none" w:sz="0" w:space="0" w:color="auto"/>
          </w:divBdr>
        </w:div>
        <w:div w:id="539781665">
          <w:marLeft w:val="0"/>
          <w:marRight w:val="0"/>
          <w:marTop w:val="0"/>
          <w:marBottom w:val="0"/>
          <w:divBdr>
            <w:top w:val="none" w:sz="0" w:space="0" w:color="auto"/>
            <w:left w:val="none" w:sz="0" w:space="0" w:color="auto"/>
            <w:bottom w:val="none" w:sz="0" w:space="0" w:color="auto"/>
            <w:right w:val="none" w:sz="0" w:space="0" w:color="auto"/>
          </w:divBdr>
        </w:div>
        <w:div w:id="616790962">
          <w:marLeft w:val="0"/>
          <w:marRight w:val="0"/>
          <w:marTop w:val="0"/>
          <w:marBottom w:val="0"/>
          <w:divBdr>
            <w:top w:val="none" w:sz="0" w:space="0" w:color="auto"/>
            <w:left w:val="none" w:sz="0" w:space="0" w:color="auto"/>
            <w:bottom w:val="none" w:sz="0" w:space="0" w:color="auto"/>
            <w:right w:val="none" w:sz="0" w:space="0" w:color="auto"/>
          </w:divBdr>
        </w:div>
        <w:div w:id="689261336">
          <w:marLeft w:val="0"/>
          <w:marRight w:val="0"/>
          <w:marTop w:val="0"/>
          <w:marBottom w:val="0"/>
          <w:divBdr>
            <w:top w:val="none" w:sz="0" w:space="0" w:color="auto"/>
            <w:left w:val="none" w:sz="0" w:space="0" w:color="auto"/>
            <w:bottom w:val="none" w:sz="0" w:space="0" w:color="auto"/>
            <w:right w:val="none" w:sz="0" w:space="0" w:color="auto"/>
          </w:divBdr>
        </w:div>
        <w:div w:id="702091989">
          <w:marLeft w:val="0"/>
          <w:marRight w:val="0"/>
          <w:marTop w:val="0"/>
          <w:marBottom w:val="0"/>
          <w:divBdr>
            <w:top w:val="none" w:sz="0" w:space="0" w:color="auto"/>
            <w:left w:val="none" w:sz="0" w:space="0" w:color="auto"/>
            <w:bottom w:val="none" w:sz="0" w:space="0" w:color="auto"/>
            <w:right w:val="none" w:sz="0" w:space="0" w:color="auto"/>
          </w:divBdr>
        </w:div>
        <w:div w:id="850993004">
          <w:marLeft w:val="0"/>
          <w:marRight w:val="0"/>
          <w:marTop w:val="0"/>
          <w:marBottom w:val="0"/>
          <w:divBdr>
            <w:top w:val="none" w:sz="0" w:space="0" w:color="auto"/>
            <w:left w:val="none" w:sz="0" w:space="0" w:color="auto"/>
            <w:bottom w:val="none" w:sz="0" w:space="0" w:color="auto"/>
            <w:right w:val="none" w:sz="0" w:space="0" w:color="auto"/>
          </w:divBdr>
        </w:div>
        <w:div w:id="949700719">
          <w:marLeft w:val="0"/>
          <w:marRight w:val="0"/>
          <w:marTop w:val="0"/>
          <w:marBottom w:val="0"/>
          <w:divBdr>
            <w:top w:val="none" w:sz="0" w:space="0" w:color="auto"/>
            <w:left w:val="none" w:sz="0" w:space="0" w:color="auto"/>
            <w:bottom w:val="none" w:sz="0" w:space="0" w:color="auto"/>
            <w:right w:val="none" w:sz="0" w:space="0" w:color="auto"/>
          </w:divBdr>
        </w:div>
        <w:div w:id="953247651">
          <w:marLeft w:val="0"/>
          <w:marRight w:val="0"/>
          <w:marTop w:val="0"/>
          <w:marBottom w:val="0"/>
          <w:divBdr>
            <w:top w:val="none" w:sz="0" w:space="0" w:color="auto"/>
            <w:left w:val="none" w:sz="0" w:space="0" w:color="auto"/>
            <w:bottom w:val="none" w:sz="0" w:space="0" w:color="auto"/>
            <w:right w:val="none" w:sz="0" w:space="0" w:color="auto"/>
          </w:divBdr>
        </w:div>
        <w:div w:id="987901499">
          <w:marLeft w:val="0"/>
          <w:marRight w:val="0"/>
          <w:marTop w:val="0"/>
          <w:marBottom w:val="0"/>
          <w:divBdr>
            <w:top w:val="none" w:sz="0" w:space="0" w:color="auto"/>
            <w:left w:val="none" w:sz="0" w:space="0" w:color="auto"/>
            <w:bottom w:val="none" w:sz="0" w:space="0" w:color="auto"/>
            <w:right w:val="none" w:sz="0" w:space="0" w:color="auto"/>
          </w:divBdr>
        </w:div>
        <w:div w:id="1011951700">
          <w:marLeft w:val="0"/>
          <w:marRight w:val="0"/>
          <w:marTop w:val="0"/>
          <w:marBottom w:val="0"/>
          <w:divBdr>
            <w:top w:val="none" w:sz="0" w:space="0" w:color="auto"/>
            <w:left w:val="none" w:sz="0" w:space="0" w:color="auto"/>
            <w:bottom w:val="none" w:sz="0" w:space="0" w:color="auto"/>
            <w:right w:val="none" w:sz="0" w:space="0" w:color="auto"/>
          </w:divBdr>
        </w:div>
        <w:div w:id="1026520309">
          <w:marLeft w:val="0"/>
          <w:marRight w:val="0"/>
          <w:marTop w:val="0"/>
          <w:marBottom w:val="0"/>
          <w:divBdr>
            <w:top w:val="none" w:sz="0" w:space="0" w:color="auto"/>
            <w:left w:val="none" w:sz="0" w:space="0" w:color="auto"/>
            <w:bottom w:val="none" w:sz="0" w:space="0" w:color="auto"/>
            <w:right w:val="none" w:sz="0" w:space="0" w:color="auto"/>
          </w:divBdr>
        </w:div>
        <w:div w:id="1202668836">
          <w:marLeft w:val="0"/>
          <w:marRight w:val="0"/>
          <w:marTop w:val="0"/>
          <w:marBottom w:val="0"/>
          <w:divBdr>
            <w:top w:val="none" w:sz="0" w:space="0" w:color="auto"/>
            <w:left w:val="none" w:sz="0" w:space="0" w:color="auto"/>
            <w:bottom w:val="none" w:sz="0" w:space="0" w:color="auto"/>
            <w:right w:val="none" w:sz="0" w:space="0" w:color="auto"/>
          </w:divBdr>
        </w:div>
        <w:div w:id="1331564135">
          <w:marLeft w:val="0"/>
          <w:marRight w:val="0"/>
          <w:marTop w:val="0"/>
          <w:marBottom w:val="0"/>
          <w:divBdr>
            <w:top w:val="none" w:sz="0" w:space="0" w:color="auto"/>
            <w:left w:val="none" w:sz="0" w:space="0" w:color="auto"/>
            <w:bottom w:val="none" w:sz="0" w:space="0" w:color="auto"/>
            <w:right w:val="none" w:sz="0" w:space="0" w:color="auto"/>
          </w:divBdr>
        </w:div>
        <w:div w:id="1721788206">
          <w:marLeft w:val="0"/>
          <w:marRight w:val="0"/>
          <w:marTop w:val="0"/>
          <w:marBottom w:val="0"/>
          <w:divBdr>
            <w:top w:val="none" w:sz="0" w:space="0" w:color="auto"/>
            <w:left w:val="none" w:sz="0" w:space="0" w:color="auto"/>
            <w:bottom w:val="none" w:sz="0" w:space="0" w:color="auto"/>
            <w:right w:val="none" w:sz="0" w:space="0" w:color="auto"/>
          </w:divBdr>
        </w:div>
        <w:div w:id="1887789505">
          <w:marLeft w:val="0"/>
          <w:marRight w:val="0"/>
          <w:marTop w:val="0"/>
          <w:marBottom w:val="0"/>
          <w:divBdr>
            <w:top w:val="none" w:sz="0" w:space="0" w:color="auto"/>
            <w:left w:val="none" w:sz="0" w:space="0" w:color="auto"/>
            <w:bottom w:val="none" w:sz="0" w:space="0" w:color="auto"/>
            <w:right w:val="none" w:sz="0" w:space="0" w:color="auto"/>
          </w:divBdr>
        </w:div>
        <w:div w:id="1889149493">
          <w:marLeft w:val="0"/>
          <w:marRight w:val="0"/>
          <w:marTop w:val="0"/>
          <w:marBottom w:val="0"/>
          <w:divBdr>
            <w:top w:val="none" w:sz="0" w:space="0" w:color="auto"/>
            <w:left w:val="none" w:sz="0" w:space="0" w:color="auto"/>
            <w:bottom w:val="none" w:sz="0" w:space="0" w:color="auto"/>
            <w:right w:val="none" w:sz="0" w:space="0" w:color="auto"/>
          </w:divBdr>
        </w:div>
        <w:div w:id="1896042517">
          <w:marLeft w:val="0"/>
          <w:marRight w:val="0"/>
          <w:marTop w:val="0"/>
          <w:marBottom w:val="0"/>
          <w:divBdr>
            <w:top w:val="none" w:sz="0" w:space="0" w:color="auto"/>
            <w:left w:val="none" w:sz="0" w:space="0" w:color="auto"/>
            <w:bottom w:val="none" w:sz="0" w:space="0" w:color="auto"/>
            <w:right w:val="none" w:sz="0" w:space="0" w:color="auto"/>
          </w:divBdr>
        </w:div>
        <w:div w:id="1912957719">
          <w:marLeft w:val="0"/>
          <w:marRight w:val="0"/>
          <w:marTop w:val="0"/>
          <w:marBottom w:val="0"/>
          <w:divBdr>
            <w:top w:val="none" w:sz="0" w:space="0" w:color="auto"/>
            <w:left w:val="none" w:sz="0" w:space="0" w:color="auto"/>
            <w:bottom w:val="none" w:sz="0" w:space="0" w:color="auto"/>
            <w:right w:val="none" w:sz="0" w:space="0" w:color="auto"/>
          </w:divBdr>
        </w:div>
        <w:div w:id="2016955244">
          <w:marLeft w:val="0"/>
          <w:marRight w:val="0"/>
          <w:marTop w:val="0"/>
          <w:marBottom w:val="0"/>
          <w:divBdr>
            <w:top w:val="none" w:sz="0" w:space="0" w:color="auto"/>
            <w:left w:val="none" w:sz="0" w:space="0" w:color="auto"/>
            <w:bottom w:val="none" w:sz="0" w:space="0" w:color="auto"/>
            <w:right w:val="none" w:sz="0" w:space="0" w:color="auto"/>
          </w:divBdr>
        </w:div>
        <w:div w:id="2056080417">
          <w:marLeft w:val="0"/>
          <w:marRight w:val="0"/>
          <w:marTop w:val="0"/>
          <w:marBottom w:val="0"/>
          <w:divBdr>
            <w:top w:val="none" w:sz="0" w:space="0" w:color="auto"/>
            <w:left w:val="none" w:sz="0" w:space="0" w:color="auto"/>
            <w:bottom w:val="none" w:sz="0" w:space="0" w:color="auto"/>
            <w:right w:val="none" w:sz="0" w:space="0" w:color="auto"/>
          </w:divBdr>
        </w:div>
        <w:div w:id="2093509421">
          <w:marLeft w:val="0"/>
          <w:marRight w:val="0"/>
          <w:marTop w:val="0"/>
          <w:marBottom w:val="0"/>
          <w:divBdr>
            <w:top w:val="none" w:sz="0" w:space="0" w:color="auto"/>
            <w:left w:val="none" w:sz="0" w:space="0" w:color="auto"/>
            <w:bottom w:val="none" w:sz="0" w:space="0" w:color="auto"/>
            <w:right w:val="none" w:sz="0" w:space="0" w:color="auto"/>
          </w:divBdr>
        </w:div>
        <w:div w:id="2138335736">
          <w:marLeft w:val="0"/>
          <w:marRight w:val="0"/>
          <w:marTop w:val="0"/>
          <w:marBottom w:val="0"/>
          <w:divBdr>
            <w:top w:val="none" w:sz="0" w:space="0" w:color="auto"/>
            <w:left w:val="none" w:sz="0" w:space="0" w:color="auto"/>
            <w:bottom w:val="none" w:sz="0" w:space="0" w:color="auto"/>
            <w:right w:val="none" w:sz="0" w:space="0" w:color="auto"/>
          </w:divBdr>
        </w:div>
      </w:divsChild>
    </w:div>
    <w:div w:id="1998146027">
      <w:bodyDiv w:val="1"/>
      <w:marLeft w:val="0"/>
      <w:marRight w:val="0"/>
      <w:marTop w:val="0"/>
      <w:marBottom w:val="0"/>
      <w:divBdr>
        <w:top w:val="none" w:sz="0" w:space="0" w:color="auto"/>
        <w:left w:val="none" w:sz="0" w:space="0" w:color="auto"/>
        <w:bottom w:val="none" w:sz="0" w:space="0" w:color="auto"/>
        <w:right w:val="none" w:sz="0" w:space="0" w:color="auto"/>
      </w:divBdr>
    </w:div>
    <w:div w:id="1998340094">
      <w:bodyDiv w:val="1"/>
      <w:marLeft w:val="0"/>
      <w:marRight w:val="0"/>
      <w:marTop w:val="0"/>
      <w:marBottom w:val="0"/>
      <w:divBdr>
        <w:top w:val="none" w:sz="0" w:space="0" w:color="auto"/>
        <w:left w:val="none" w:sz="0" w:space="0" w:color="auto"/>
        <w:bottom w:val="none" w:sz="0" w:space="0" w:color="auto"/>
        <w:right w:val="none" w:sz="0" w:space="0" w:color="auto"/>
      </w:divBdr>
    </w:div>
    <w:div w:id="2011594633">
      <w:bodyDiv w:val="1"/>
      <w:marLeft w:val="0"/>
      <w:marRight w:val="0"/>
      <w:marTop w:val="0"/>
      <w:marBottom w:val="0"/>
      <w:divBdr>
        <w:top w:val="none" w:sz="0" w:space="0" w:color="auto"/>
        <w:left w:val="none" w:sz="0" w:space="0" w:color="auto"/>
        <w:bottom w:val="none" w:sz="0" w:space="0" w:color="auto"/>
        <w:right w:val="none" w:sz="0" w:space="0" w:color="auto"/>
      </w:divBdr>
    </w:div>
    <w:div w:id="2011759466">
      <w:bodyDiv w:val="1"/>
      <w:marLeft w:val="0"/>
      <w:marRight w:val="0"/>
      <w:marTop w:val="0"/>
      <w:marBottom w:val="0"/>
      <w:divBdr>
        <w:top w:val="none" w:sz="0" w:space="0" w:color="auto"/>
        <w:left w:val="none" w:sz="0" w:space="0" w:color="auto"/>
        <w:bottom w:val="none" w:sz="0" w:space="0" w:color="auto"/>
        <w:right w:val="none" w:sz="0" w:space="0" w:color="auto"/>
      </w:divBdr>
    </w:div>
    <w:div w:id="2012101675">
      <w:bodyDiv w:val="1"/>
      <w:marLeft w:val="0"/>
      <w:marRight w:val="0"/>
      <w:marTop w:val="0"/>
      <w:marBottom w:val="0"/>
      <w:divBdr>
        <w:top w:val="none" w:sz="0" w:space="0" w:color="auto"/>
        <w:left w:val="none" w:sz="0" w:space="0" w:color="auto"/>
        <w:bottom w:val="none" w:sz="0" w:space="0" w:color="auto"/>
        <w:right w:val="none" w:sz="0" w:space="0" w:color="auto"/>
      </w:divBdr>
      <w:divsChild>
        <w:div w:id="1002273072">
          <w:marLeft w:val="0"/>
          <w:marRight w:val="0"/>
          <w:marTop w:val="0"/>
          <w:marBottom w:val="0"/>
          <w:divBdr>
            <w:top w:val="none" w:sz="0" w:space="0" w:color="auto"/>
            <w:left w:val="none" w:sz="0" w:space="0" w:color="auto"/>
            <w:bottom w:val="none" w:sz="0" w:space="0" w:color="auto"/>
            <w:right w:val="none" w:sz="0" w:space="0" w:color="auto"/>
          </w:divBdr>
        </w:div>
        <w:div w:id="1118916897">
          <w:marLeft w:val="0"/>
          <w:marRight w:val="0"/>
          <w:marTop w:val="0"/>
          <w:marBottom w:val="0"/>
          <w:divBdr>
            <w:top w:val="none" w:sz="0" w:space="0" w:color="auto"/>
            <w:left w:val="none" w:sz="0" w:space="0" w:color="auto"/>
            <w:bottom w:val="none" w:sz="0" w:space="0" w:color="auto"/>
            <w:right w:val="none" w:sz="0" w:space="0" w:color="auto"/>
          </w:divBdr>
          <w:divsChild>
            <w:div w:id="1814906430">
              <w:marLeft w:val="0"/>
              <w:marRight w:val="0"/>
              <w:marTop w:val="0"/>
              <w:marBottom w:val="0"/>
              <w:divBdr>
                <w:top w:val="none" w:sz="0" w:space="0" w:color="auto"/>
                <w:left w:val="none" w:sz="0" w:space="0" w:color="auto"/>
                <w:bottom w:val="none" w:sz="0" w:space="0" w:color="auto"/>
                <w:right w:val="none" w:sz="0" w:space="0" w:color="auto"/>
              </w:divBdr>
              <w:divsChild>
                <w:div w:id="838472558">
                  <w:marLeft w:val="0"/>
                  <w:marRight w:val="0"/>
                  <w:marTop w:val="0"/>
                  <w:marBottom w:val="0"/>
                  <w:divBdr>
                    <w:top w:val="none" w:sz="0" w:space="0" w:color="auto"/>
                    <w:left w:val="none" w:sz="0" w:space="0" w:color="auto"/>
                    <w:bottom w:val="none" w:sz="0" w:space="0" w:color="auto"/>
                    <w:right w:val="none" w:sz="0" w:space="0" w:color="auto"/>
                  </w:divBdr>
                  <w:divsChild>
                    <w:div w:id="165173365">
                      <w:marLeft w:val="0"/>
                      <w:marRight w:val="0"/>
                      <w:marTop w:val="0"/>
                      <w:marBottom w:val="0"/>
                      <w:divBdr>
                        <w:top w:val="none" w:sz="0" w:space="0" w:color="auto"/>
                        <w:left w:val="none" w:sz="0" w:space="0" w:color="auto"/>
                        <w:bottom w:val="none" w:sz="0" w:space="0" w:color="auto"/>
                        <w:right w:val="none" w:sz="0" w:space="0" w:color="auto"/>
                      </w:divBdr>
                      <w:divsChild>
                        <w:div w:id="28337676">
                          <w:marLeft w:val="0"/>
                          <w:marRight w:val="0"/>
                          <w:marTop w:val="0"/>
                          <w:marBottom w:val="0"/>
                          <w:divBdr>
                            <w:top w:val="none" w:sz="0" w:space="0" w:color="auto"/>
                            <w:left w:val="none" w:sz="0" w:space="0" w:color="auto"/>
                            <w:bottom w:val="none" w:sz="0" w:space="0" w:color="auto"/>
                            <w:right w:val="none" w:sz="0" w:space="0" w:color="auto"/>
                          </w:divBdr>
                        </w:div>
                        <w:div w:id="16332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212787">
      <w:bodyDiv w:val="1"/>
      <w:marLeft w:val="0"/>
      <w:marRight w:val="0"/>
      <w:marTop w:val="0"/>
      <w:marBottom w:val="0"/>
      <w:divBdr>
        <w:top w:val="none" w:sz="0" w:space="0" w:color="auto"/>
        <w:left w:val="none" w:sz="0" w:space="0" w:color="auto"/>
        <w:bottom w:val="none" w:sz="0" w:space="0" w:color="auto"/>
        <w:right w:val="none" w:sz="0" w:space="0" w:color="auto"/>
      </w:divBdr>
      <w:divsChild>
        <w:div w:id="326591058">
          <w:marLeft w:val="0"/>
          <w:marRight w:val="0"/>
          <w:marTop w:val="0"/>
          <w:marBottom w:val="0"/>
          <w:divBdr>
            <w:top w:val="none" w:sz="0" w:space="0" w:color="auto"/>
            <w:left w:val="none" w:sz="0" w:space="0" w:color="auto"/>
            <w:bottom w:val="none" w:sz="0" w:space="0" w:color="auto"/>
            <w:right w:val="none" w:sz="0" w:space="0" w:color="auto"/>
          </w:divBdr>
        </w:div>
        <w:div w:id="1960603843">
          <w:marLeft w:val="0"/>
          <w:marRight w:val="0"/>
          <w:marTop w:val="0"/>
          <w:marBottom w:val="0"/>
          <w:divBdr>
            <w:top w:val="none" w:sz="0" w:space="0" w:color="auto"/>
            <w:left w:val="none" w:sz="0" w:space="0" w:color="auto"/>
            <w:bottom w:val="none" w:sz="0" w:space="0" w:color="auto"/>
            <w:right w:val="none" w:sz="0" w:space="0" w:color="auto"/>
          </w:divBdr>
        </w:div>
      </w:divsChild>
    </w:div>
    <w:div w:id="2014603314">
      <w:bodyDiv w:val="1"/>
      <w:marLeft w:val="0"/>
      <w:marRight w:val="0"/>
      <w:marTop w:val="0"/>
      <w:marBottom w:val="0"/>
      <w:divBdr>
        <w:top w:val="none" w:sz="0" w:space="0" w:color="auto"/>
        <w:left w:val="none" w:sz="0" w:space="0" w:color="auto"/>
        <w:bottom w:val="none" w:sz="0" w:space="0" w:color="auto"/>
        <w:right w:val="none" w:sz="0" w:space="0" w:color="auto"/>
      </w:divBdr>
      <w:divsChild>
        <w:div w:id="95564219">
          <w:marLeft w:val="0"/>
          <w:marRight w:val="0"/>
          <w:marTop w:val="0"/>
          <w:marBottom w:val="150"/>
          <w:divBdr>
            <w:top w:val="none" w:sz="0" w:space="0" w:color="auto"/>
            <w:left w:val="none" w:sz="0" w:space="0" w:color="auto"/>
            <w:bottom w:val="single" w:sz="6" w:space="8" w:color="DDDDDD"/>
            <w:right w:val="none" w:sz="0" w:space="0" w:color="auto"/>
          </w:divBdr>
        </w:div>
        <w:div w:id="1324430796">
          <w:marLeft w:val="0"/>
          <w:marRight w:val="0"/>
          <w:marTop w:val="0"/>
          <w:marBottom w:val="300"/>
          <w:divBdr>
            <w:top w:val="none" w:sz="0" w:space="0" w:color="auto"/>
            <w:left w:val="none" w:sz="0" w:space="0" w:color="auto"/>
            <w:bottom w:val="none" w:sz="0" w:space="0" w:color="auto"/>
            <w:right w:val="none" w:sz="0" w:space="0" w:color="auto"/>
          </w:divBdr>
          <w:divsChild>
            <w:div w:id="165092540">
              <w:marLeft w:val="0"/>
              <w:marRight w:val="0"/>
              <w:marTop w:val="0"/>
              <w:marBottom w:val="300"/>
              <w:divBdr>
                <w:top w:val="none" w:sz="0" w:space="0" w:color="auto"/>
                <w:left w:val="none" w:sz="0" w:space="0" w:color="auto"/>
                <w:bottom w:val="none" w:sz="0" w:space="0" w:color="auto"/>
                <w:right w:val="none" w:sz="0" w:space="0" w:color="auto"/>
              </w:divBdr>
            </w:div>
          </w:divsChild>
        </w:div>
        <w:div w:id="2111462500">
          <w:marLeft w:val="0"/>
          <w:marRight w:val="0"/>
          <w:marTop w:val="0"/>
          <w:marBottom w:val="150"/>
          <w:divBdr>
            <w:top w:val="none" w:sz="0" w:space="0" w:color="auto"/>
            <w:left w:val="none" w:sz="0" w:space="0" w:color="auto"/>
            <w:bottom w:val="none" w:sz="0" w:space="0" w:color="auto"/>
            <w:right w:val="none" w:sz="0" w:space="0" w:color="auto"/>
          </w:divBdr>
          <w:divsChild>
            <w:div w:id="18439605">
              <w:marLeft w:val="0"/>
              <w:marRight w:val="0"/>
              <w:marTop w:val="0"/>
              <w:marBottom w:val="0"/>
              <w:divBdr>
                <w:top w:val="none" w:sz="0" w:space="0" w:color="auto"/>
                <w:left w:val="none" w:sz="0" w:space="0" w:color="auto"/>
                <w:bottom w:val="none" w:sz="0" w:space="0" w:color="auto"/>
                <w:right w:val="none" w:sz="0" w:space="0" w:color="auto"/>
              </w:divBdr>
            </w:div>
            <w:div w:id="206262537">
              <w:marLeft w:val="0"/>
              <w:marRight w:val="0"/>
              <w:marTop w:val="0"/>
              <w:marBottom w:val="0"/>
              <w:divBdr>
                <w:top w:val="none" w:sz="0" w:space="0" w:color="auto"/>
                <w:left w:val="none" w:sz="0" w:space="0" w:color="auto"/>
                <w:bottom w:val="none" w:sz="0" w:space="0" w:color="auto"/>
                <w:right w:val="none" w:sz="0" w:space="0" w:color="auto"/>
              </w:divBdr>
            </w:div>
            <w:div w:id="1578324114">
              <w:marLeft w:val="0"/>
              <w:marRight w:val="0"/>
              <w:marTop w:val="0"/>
              <w:marBottom w:val="0"/>
              <w:divBdr>
                <w:top w:val="none" w:sz="0" w:space="0" w:color="auto"/>
                <w:left w:val="none" w:sz="0" w:space="0" w:color="auto"/>
                <w:bottom w:val="none" w:sz="0" w:space="0" w:color="auto"/>
                <w:right w:val="none" w:sz="0" w:space="0" w:color="auto"/>
              </w:divBdr>
            </w:div>
            <w:div w:id="2121996039">
              <w:marLeft w:val="0"/>
              <w:marRight w:val="0"/>
              <w:marTop w:val="0"/>
              <w:marBottom w:val="0"/>
              <w:divBdr>
                <w:top w:val="none" w:sz="0" w:space="0" w:color="auto"/>
                <w:left w:val="none" w:sz="0" w:space="0" w:color="auto"/>
                <w:bottom w:val="none" w:sz="0" w:space="0" w:color="auto"/>
                <w:right w:val="none" w:sz="0" w:space="0" w:color="auto"/>
              </w:divBdr>
            </w:div>
            <w:div w:id="212527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9895">
      <w:bodyDiv w:val="1"/>
      <w:marLeft w:val="0"/>
      <w:marRight w:val="0"/>
      <w:marTop w:val="0"/>
      <w:marBottom w:val="0"/>
      <w:divBdr>
        <w:top w:val="none" w:sz="0" w:space="0" w:color="auto"/>
        <w:left w:val="none" w:sz="0" w:space="0" w:color="auto"/>
        <w:bottom w:val="none" w:sz="0" w:space="0" w:color="auto"/>
        <w:right w:val="none" w:sz="0" w:space="0" w:color="auto"/>
      </w:divBdr>
      <w:divsChild>
        <w:div w:id="44448982">
          <w:marLeft w:val="0"/>
          <w:marRight w:val="0"/>
          <w:marTop w:val="0"/>
          <w:marBottom w:val="0"/>
          <w:divBdr>
            <w:top w:val="none" w:sz="0" w:space="0" w:color="auto"/>
            <w:left w:val="none" w:sz="0" w:space="0" w:color="auto"/>
            <w:bottom w:val="none" w:sz="0" w:space="0" w:color="auto"/>
            <w:right w:val="none" w:sz="0" w:space="0" w:color="auto"/>
          </w:divBdr>
        </w:div>
      </w:divsChild>
    </w:div>
    <w:div w:id="2017151622">
      <w:bodyDiv w:val="1"/>
      <w:marLeft w:val="0"/>
      <w:marRight w:val="0"/>
      <w:marTop w:val="0"/>
      <w:marBottom w:val="0"/>
      <w:divBdr>
        <w:top w:val="none" w:sz="0" w:space="0" w:color="auto"/>
        <w:left w:val="none" w:sz="0" w:space="0" w:color="auto"/>
        <w:bottom w:val="none" w:sz="0" w:space="0" w:color="auto"/>
        <w:right w:val="none" w:sz="0" w:space="0" w:color="auto"/>
      </w:divBdr>
    </w:div>
    <w:div w:id="2017295276">
      <w:bodyDiv w:val="1"/>
      <w:marLeft w:val="0"/>
      <w:marRight w:val="0"/>
      <w:marTop w:val="0"/>
      <w:marBottom w:val="0"/>
      <w:divBdr>
        <w:top w:val="none" w:sz="0" w:space="0" w:color="auto"/>
        <w:left w:val="none" w:sz="0" w:space="0" w:color="auto"/>
        <w:bottom w:val="none" w:sz="0" w:space="0" w:color="auto"/>
        <w:right w:val="none" w:sz="0" w:space="0" w:color="auto"/>
      </w:divBdr>
      <w:divsChild>
        <w:div w:id="27684670">
          <w:marLeft w:val="0"/>
          <w:marRight w:val="0"/>
          <w:marTop w:val="0"/>
          <w:marBottom w:val="0"/>
          <w:divBdr>
            <w:top w:val="none" w:sz="0" w:space="0" w:color="auto"/>
            <w:left w:val="none" w:sz="0" w:space="0" w:color="auto"/>
            <w:bottom w:val="none" w:sz="0" w:space="0" w:color="auto"/>
            <w:right w:val="none" w:sz="0" w:space="0" w:color="auto"/>
          </w:divBdr>
        </w:div>
        <w:div w:id="1251087765">
          <w:marLeft w:val="0"/>
          <w:marRight w:val="0"/>
          <w:marTop w:val="0"/>
          <w:marBottom w:val="0"/>
          <w:divBdr>
            <w:top w:val="none" w:sz="0" w:space="0" w:color="auto"/>
            <w:left w:val="none" w:sz="0" w:space="0" w:color="auto"/>
            <w:bottom w:val="none" w:sz="0" w:space="0" w:color="auto"/>
            <w:right w:val="none" w:sz="0" w:space="0" w:color="auto"/>
          </w:divBdr>
        </w:div>
      </w:divsChild>
    </w:div>
    <w:div w:id="2018146927">
      <w:bodyDiv w:val="1"/>
      <w:marLeft w:val="0"/>
      <w:marRight w:val="0"/>
      <w:marTop w:val="0"/>
      <w:marBottom w:val="0"/>
      <w:divBdr>
        <w:top w:val="none" w:sz="0" w:space="0" w:color="auto"/>
        <w:left w:val="none" w:sz="0" w:space="0" w:color="auto"/>
        <w:bottom w:val="none" w:sz="0" w:space="0" w:color="auto"/>
        <w:right w:val="none" w:sz="0" w:space="0" w:color="auto"/>
      </w:divBdr>
    </w:div>
    <w:div w:id="2018724901">
      <w:bodyDiv w:val="1"/>
      <w:marLeft w:val="0"/>
      <w:marRight w:val="0"/>
      <w:marTop w:val="0"/>
      <w:marBottom w:val="0"/>
      <w:divBdr>
        <w:top w:val="none" w:sz="0" w:space="0" w:color="auto"/>
        <w:left w:val="none" w:sz="0" w:space="0" w:color="auto"/>
        <w:bottom w:val="none" w:sz="0" w:space="0" w:color="auto"/>
        <w:right w:val="none" w:sz="0" w:space="0" w:color="auto"/>
      </w:divBdr>
    </w:div>
    <w:div w:id="2029797558">
      <w:bodyDiv w:val="1"/>
      <w:marLeft w:val="0"/>
      <w:marRight w:val="0"/>
      <w:marTop w:val="0"/>
      <w:marBottom w:val="0"/>
      <w:divBdr>
        <w:top w:val="none" w:sz="0" w:space="0" w:color="auto"/>
        <w:left w:val="none" w:sz="0" w:space="0" w:color="auto"/>
        <w:bottom w:val="none" w:sz="0" w:space="0" w:color="auto"/>
        <w:right w:val="none" w:sz="0" w:space="0" w:color="auto"/>
      </w:divBdr>
    </w:div>
    <w:div w:id="2035224542">
      <w:bodyDiv w:val="1"/>
      <w:marLeft w:val="0"/>
      <w:marRight w:val="0"/>
      <w:marTop w:val="0"/>
      <w:marBottom w:val="0"/>
      <w:divBdr>
        <w:top w:val="none" w:sz="0" w:space="0" w:color="auto"/>
        <w:left w:val="none" w:sz="0" w:space="0" w:color="auto"/>
        <w:bottom w:val="none" w:sz="0" w:space="0" w:color="auto"/>
        <w:right w:val="none" w:sz="0" w:space="0" w:color="auto"/>
      </w:divBdr>
      <w:divsChild>
        <w:div w:id="1381708003">
          <w:marLeft w:val="0"/>
          <w:marRight w:val="0"/>
          <w:marTop w:val="0"/>
          <w:marBottom w:val="0"/>
          <w:divBdr>
            <w:top w:val="none" w:sz="0" w:space="0" w:color="auto"/>
            <w:left w:val="none" w:sz="0" w:space="0" w:color="auto"/>
            <w:bottom w:val="none" w:sz="0" w:space="0" w:color="auto"/>
            <w:right w:val="none" w:sz="0" w:space="0" w:color="auto"/>
          </w:divBdr>
          <w:divsChild>
            <w:div w:id="1732197095">
              <w:marLeft w:val="0"/>
              <w:marRight w:val="0"/>
              <w:marTop w:val="0"/>
              <w:marBottom w:val="0"/>
              <w:divBdr>
                <w:top w:val="none" w:sz="0" w:space="0" w:color="auto"/>
                <w:left w:val="none" w:sz="0" w:space="0" w:color="auto"/>
                <w:bottom w:val="none" w:sz="0" w:space="0" w:color="auto"/>
                <w:right w:val="none" w:sz="0" w:space="0" w:color="auto"/>
              </w:divBdr>
              <w:divsChild>
                <w:div w:id="1996689048">
                  <w:marLeft w:val="0"/>
                  <w:marRight w:val="0"/>
                  <w:marTop w:val="0"/>
                  <w:marBottom w:val="0"/>
                  <w:divBdr>
                    <w:top w:val="none" w:sz="0" w:space="0" w:color="auto"/>
                    <w:left w:val="none" w:sz="0" w:space="0" w:color="auto"/>
                    <w:bottom w:val="none" w:sz="0" w:space="0" w:color="auto"/>
                    <w:right w:val="none" w:sz="0" w:space="0" w:color="auto"/>
                  </w:divBdr>
                  <w:divsChild>
                    <w:div w:id="1137836799">
                      <w:marLeft w:val="0"/>
                      <w:marRight w:val="0"/>
                      <w:marTop w:val="0"/>
                      <w:marBottom w:val="0"/>
                      <w:divBdr>
                        <w:top w:val="none" w:sz="0" w:space="0" w:color="auto"/>
                        <w:left w:val="none" w:sz="0" w:space="0" w:color="auto"/>
                        <w:bottom w:val="none" w:sz="0" w:space="0" w:color="auto"/>
                        <w:right w:val="none" w:sz="0" w:space="0" w:color="auto"/>
                      </w:divBdr>
                      <w:divsChild>
                        <w:div w:id="528110012">
                          <w:marLeft w:val="0"/>
                          <w:marRight w:val="0"/>
                          <w:marTop w:val="0"/>
                          <w:marBottom w:val="0"/>
                          <w:divBdr>
                            <w:top w:val="none" w:sz="0" w:space="0" w:color="auto"/>
                            <w:left w:val="none" w:sz="0" w:space="0" w:color="auto"/>
                            <w:bottom w:val="none" w:sz="0" w:space="0" w:color="auto"/>
                            <w:right w:val="none" w:sz="0" w:space="0" w:color="auto"/>
                          </w:divBdr>
                          <w:divsChild>
                            <w:div w:id="643315757">
                              <w:marLeft w:val="0"/>
                              <w:marRight w:val="0"/>
                              <w:marTop w:val="0"/>
                              <w:marBottom w:val="0"/>
                              <w:divBdr>
                                <w:top w:val="none" w:sz="0" w:space="0" w:color="auto"/>
                                <w:left w:val="none" w:sz="0" w:space="0" w:color="auto"/>
                                <w:bottom w:val="none" w:sz="0" w:space="0" w:color="auto"/>
                                <w:right w:val="none" w:sz="0" w:space="0" w:color="auto"/>
                              </w:divBdr>
                              <w:divsChild>
                                <w:div w:id="1580099329">
                                  <w:marLeft w:val="0"/>
                                  <w:marRight w:val="0"/>
                                  <w:marTop w:val="0"/>
                                  <w:marBottom w:val="0"/>
                                  <w:divBdr>
                                    <w:top w:val="none" w:sz="0" w:space="0" w:color="auto"/>
                                    <w:left w:val="none" w:sz="0" w:space="0" w:color="auto"/>
                                    <w:bottom w:val="none" w:sz="0" w:space="0" w:color="auto"/>
                                    <w:right w:val="none" w:sz="0" w:space="0" w:color="auto"/>
                                  </w:divBdr>
                                  <w:divsChild>
                                    <w:div w:id="2112581549">
                                      <w:marLeft w:val="0"/>
                                      <w:marRight w:val="0"/>
                                      <w:marTop w:val="0"/>
                                      <w:marBottom w:val="0"/>
                                      <w:divBdr>
                                        <w:top w:val="none" w:sz="0" w:space="0" w:color="auto"/>
                                        <w:left w:val="none" w:sz="0" w:space="0" w:color="auto"/>
                                        <w:bottom w:val="none" w:sz="0" w:space="0" w:color="auto"/>
                                        <w:right w:val="none" w:sz="0" w:space="0" w:color="auto"/>
                                      </w:divBdr>
                                      <w:divsChild>
                                        <w:div w:id="1899432116">
                                          <w:marLeft w:val="0"/>
                                          <w:marRight w:val="0"/>
                                          <w:marTop w:val="0"/>
                                          <w:marBottom w:val="0"/>
                                          <w:divBdr>
                                            <w:top w:val="none" w:sz="0" w:space="0" w:color="auto"/>
                                            <w:left w:val="none" w:sz="0" w:space="0" w:color="auto"/>
                                            <w:bottom w:val="none" w:sz="0" w:space="0" w:color="auto"/>
                                            <w:right w:val="none" w:sz="0" w:space="0" w:color="auto"/>
                                          </w:divBdr>
                                          <w:divsChild>
                                            <w:div w:id="879706099">
                                              <w:marLeft w:val="0"/>
                                              <w:marRight w:val="0"/>
                                              <w:marTop w:val="0"/>
                                              <w:marBottom w:val="0"/>
                                              <w:divBdr>
                                                <w:top w:val="none" w:sz="0" w:space="0" w:color="auto"/>
                                                <w:left w:val="none" w:sz="0" w:space="0" w:color="auto"/>
                                                <w:bottom w:val="none" w:sz="0" w:space="0" w:color="auto"/>
                                                <w:right w:val="none" w:sz="0" w:space="0" w:color="auto"/>
                                              </w:divBdr>
                                              <w:divsChild>
                                                <w:div w:id="10129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231314">
      <w:bodyDiv w:val="1"/>
      <w:marLeft w:val="0"/>
      <w:marRight w:val="0"/>
      <w:marTop w:val="0"/>
      <w:marBottom w:val="0"/>
      <w:divBdr>
        <w:top w:val="none" w:sz="0" w:space="0" w:color="auto"/>
        <w:left w:val="none" w:sz="0" w:space="0" w:color="auto"/>
        <w:bottom w:val="none" w:sz="0" w:space="0" w:color="auto"/>
        <w:right w:val="none" w:sz="0" w:space="0" w:color="auto"/>
      </w:divBdr>
      <w:divsChild>
        <w:div w:id="1294141363">
          <w:marLeft w:val="0"/>
          <w:marRight w:val="0"/>
          <w:marTop w:val="0"/>
          <w:marBottom w:val="0"/>
          <w:divBdr>
            <w:top w:val="none" w:sz="0" w:space="0" w:color="auto"/>
            <w:left w:val="none" w:sz="0" w:space="0" w:color="auto"/>
            <w:bottom w:val="none" w:sz="0" w:space="0" w:color="auto"/>
            <w:right w:val="none" w:sz="0" w:space="0" w:color="auto"/>
          </w:divBdr>
          <w:divsChild>
            <w:div w:id="265161549">
              <w:marLeft w:val="0"/>
              <w:marRight w:val="0"/>
              <w:marTop w:val="0"/>
              <w:marBottom w:val="0"/>
              <w:divBdr>
                <w:top w:val="none" w:sz="0" w:space="0" w:color="auto"/>
                <w:left w:val="none" w:sz="0" w:space="0" w:color="auto"/>
                <w:bottom w:val="none" w:sz="0" w:space="0" w:color="auto"/>
                <w:right w:val="none" w:sz="0" w:space="0" w:color="auto"/>
              </w:divBdr>
              <w:divsChild>
                <w:div w:id="2109695627">
                  <w:marLeft w:val="0"/>
                  <w:marRight w:val="0"/>
                  <w:marTop w:val="0"/>
                  <w:marBottom w:val="0"/>
                  <w:divBdr>
                    <w:top w:val="none" w:sz="0" w:space="0" w:color="auto"/>
                    <w:left w:val="none" w:sz="0" w:space="0" w:color="auto"/>
                    <w:bottom w:val="none" w:sz="0" w:space="0" w:color="auto"/>
                    <w:right w:val="none" w:sz="0" w:space="0" w:color="auto"/>
                  </w:divBdr>
                </w:div>
              </w:divsChild>
            </w:div>
            <w:div w:id="791366570">
              <w:marLeft w:val="0"/>
              <w:marRight w:val="0"/>
              <w:marTop w:val="0"/>
              <w:marBottom w:val="0"/>
              <w:divBdr>
                <w:top w:val="none" w:sz="0" w:space="0" w:color="auto"/>
                <w:left w:val="none" w:sz="0" w:space="0" w:color="auto"/>
                <w:bottom w:val="none" w:sz="0" w:space="0" w:color="auto"/>
                <w:right w:val="none" w:sz="0" w:space="0" w:color="auto"/>
              </w:divBdr>
              <w:divsChild>
                <w:div w:id="567304170">
                  <w:marLeft w:val="0"/>
                  <w:marRight w:val="0"/>
                  <w:marTop w:val="0"/>
                  <w:marBottom w:val="0"/>
                  <w:divBdr>
                    <w:top w:val="none" w:sz="0" w:space="0" w:color="auto"/>
                    <w:left w:val="none" w:sz="0" w:space="0" w:color="auto"/>
                    <w:bottom w:val="none" w:sz="0" w:space="0" w:color="auto"/>
                    <w:right w:val="none" w:sz="0" w:space="0" w:color="auto"/>
                  </w:divBdr>
                </w:div>
              </w:divsChild>
            </w:div>
            <w:div w:id="1276450267">
              <w:marLeft w:val="0"/>
              <w:marRight w:val="0"/>
              <w:marTop w:val="0"/>
              <w:marBottom w:val="0"/>
              <w:divBdr>
                <w:top w:val="none" w:sz="0" w:space="0" w:color="auto"/>
                <w:left w:val="none" w:sz="0" w:space="0" w:color="auto"/>
                <w:bottom w:val="none" w:sz="0" w:space="0" w:color="auto"/>
                <w:right w:val="none" w:sz="0" w:space="0" w:color="auto"/>
              </w:divBdr>
              <w:divsChild>
                <w:div w:id="1281064234">
                  <w:marLeft w:val="0"/>
                  <w:marRight w:val="0"/>
                  <w:marTop w:val="0"/>
                  <w:marBottom w:val="0"/>
                  <w:divBdr>
                    <w:top w:val="none" w:sz="0" w:space="0" w:color="auto"/>
                    <w:left w:val="none" w:sz="0" w:space="0" w:color="auto"/>
                    <w:bottom w:val="none" w:sz="0" w:space="0" w:color="auto"/>
                    <w:right w:val="none" w:sz="0" w:space="0" w:color="auto"/>
                  </w:divBdr>
                </w:div>
                <w:div w:id="1642466255">
                  <w:marLeft w:val="0"/>
                  <w:marRight w:val="0"/>
                  <w:marTop w:val="0"/>
                  <w:marBottom w:val="0"/>
                  <w:divBdr>
                    <w:top w:val="none" w:sz="0" w:space="0" w:color="auto"/>
                    <w:left w:val="none" w:sz="0" w:space="0" w:color="auto"/>
                    <w:bottom w:val="none" w:sz="0" w:space="0" w:color="auto"/>
                    <w:right w:val="none" w:sz="0" w:space="0" w:color="auto"/>
                  </w:divBdr>
                </w:div>
                <w:div w:id="455366918">
                  <w:marLeft w:val="0"/>
                  <w:marRight w:val="0"/>
                  <w:marTop w:val="0"/>
                  <w:marBottom w:val="0"/>
                  <w:divBdr>
                    <w:top w:val="none" w:sz="0" w:space="0" w:color="auto"/>
                    <w:left w:val="none" w:sz="0" w:space="0" w:color="auto"/>
                    <w:bottom w:val="none" w:sz="0" w:space="0" w:color="auto"/>
                    <w:right w:val="none" w:sz="0" w:space="0" w:color="auto"/>
                  </w:divBdr>
                </w:div>
                <w:div w:id="1472283315">
                  <w:marLeft w:val="0"/>
                  <w:marRight w:val="0"/>
                  <w:marTop w:val="0"/>
                  <w:marBottom w:val="0"/>
                  <w:divBdr>
                    <w:top w:val="none" w:sz="0" w:space="0" w:color="auto"/>
                    <w:left w:val="none" w:sz="0" w:space="0" w:color="auto"/>
                    <w:bottom w:val="none" w:sz="0" w:space="0" w:color="auto"/>
                    <w:right w:val="none" w:sz="0" w:space="0" w:color="auto"/>
                  </w:divBdr>
                </w:div>
                <w:div w:id="1672678206">
                  <w:marLeft w:val="0"/>
                  <w:marRight w:val="0"/>
                  <w:marTop w:val="0"/>
                  <w:marBottom w:val="0"/>
                  <w:divBdr>
                    <w:top w:val="none" w:sz="0" w:space="0" w:color="auto"/>
                    <w:left w:val="none" w:sz="0" w:space="0" w:color="auto"/>
                    <w:bottom w:val="none" w:sz="0" w:space="0" w:color="auto"/>
                    <w:right w:val="none" w:sz="0" w:space="0" w:color="auto"/>
                  </w:divBdr>
                </w:div>
              </w:divsChild>
            </w:div>
            <w:div w:id="201600552">
              <w:marLeft w:val="0"/>
              <w:marRight w:val="0"/>
              <w:marTop w:val="0"/>
              <w:marBottom w:val="0"/>
              <w:divBdr>
                <w:top w:val="none" w:sz="0" w:space="0" w:color="auto"/>
                <w:left w:val="none" w:sz="0" w:space="0" w:color="auto"/>
                <w:bottom w:val="none" w:sz="0" w:space="0" w:color="auto"/>
                <w:right w:val="none" w:sz="0" w:space="0" w:color="auto"/>
              </w:divBdr>
              <w:divsChild>
                <w:div w:id="1993562782">
                  <w:marLeft w:val="0"/>
                  <w:marRight w:val="0"/>
                  <w:marTop w:val="0"/>
                  <w:marBottom w:val="0"/>
                  <w:divBdr>
                    <w:top w:val="none" w:sz="0" w:space="0" w:color="auto"/>
                    <w:left w:val="none" w:sz="0" w:space="0" w:color="auto"/>
                    <w:bottom w:val="none" w:sz="0" w:space="0" w:color="auto"/>
                    <w:right w:val="none" w:sz="0" w:space="0" w:color="auto"/>
                  </w:divBdr>
                </w:div>
              </w:divsChild>
            </w:div>
            <w:div w:id="494151341">
              <w:marLeft w:val="0"/>
              <w:marRight w:val="0"/>
              <w:marTop w:val="0"/>
              <w:marBottom w:val="0"/>
              <w:divBdr>
                <w:top w:val="none" w:sz="0" w:space="0" w:color="auto"/>
                <w:left w:val="none" w:sz="0" w:space="0" w:color="auto"/>
                <w:bottom w:val="none" w:sz="0" w:space="0" w:color="auto"/>
                <w:right w:val="none" w:sz="0" w:space="0" w:color="auto"/>
              </w:divBdr>
              <w:divsChild>
                <w:div w:id="14817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12734">
      <w:bodyDiv w:val="1"/>
      <w:marLeft w:val="0"/>
      <w:marRight w:val="0"/>
      <w:marTop w:val="0"/>
      <w:marBottom w:val="0"/>
      <w:divBdr>
        <w:top w:val="none" w:sz="0" w:space="0" w:color="auto"/>
        <w:left w:val="none" w:sz="0" w:space="0" w:color="auto"/>
        <w:bottom w:val="none" w:sz="0" w:space="0" w:color="auto"/>
        <w:right w:val="none" w:sz="0" w:space="0" w:color="auto"/>
      </w:divBdr>
    </w:div>
    <w:div w:id="2042198485">
      <w:bodyDiv w:val="1"/>
      <w:marLeft w:val="0"/>
      <w:marRight w:val="0"/>
      <w:marTop w:val="0"/>
      <w:marBottom w:val="0"/>
      <w:divBdr>
        <w:top w:val="none" w:sz="0" w:space="0" w:color="auto"/>
        <w:left w:val="none" w:sz="0" w:space="0" w:color="auto"/>
        <w:bottom w:val="none" w:sz="0" w:space="0" w:color="auto"/>
        <w:right w:val="none" w:sz="0" w:space="0" w:color="auto"/>
      </w:divBdr>
    </w:div>
    <w:div w:id="2053577523">
      <w:bodyDiv w:val="1"/>
      <w:marLeft w:val="0"/>
      <w:marRight w:val="0"/>
      <w:marTop w:val="0"/>
      <w:marBottom w:val="0"/>
      <w:divBdr>
        <w:top w:val="none" w:sz="0" w:space="0" w:color="auto"/>
        <w:left w:val="none" w:sz="0" w:space="0" w:color="auto"/>
        <w:bottom w:val="none" w:sz="0" w:space="0" w:color="auto"/>
        <w:right w:val="none" w:sz="0" w:space="0" w:color="auto"/>
      </w:divBdr>
      <w:divsChild>
        <w:div w:id="1203401943">
          <w:marLeft w:val="0"/>
          <w:marRight w:val="0"/>
          <w:marTop w:val="0"/>
          <w:marBottom w:val="0"/>
          <w:divBdr>
            <w:top w:val="none" w:sz="0" w:space="0" w:color="auto"/>
            <w:left w:val="none" w:sz="0" w:space="0" w:color="auto"/>
            <w:bottom w:val="none" w:sz="0" w:space="0" w:color="auto"/>
            <w:right w:val="none" w:sz="0" w:space="0" w:color="auto"/>
          </w:divBdr>
          <w:divsChild>
            <w:div w:id="1262644443">
              <w:marLeft w:val="0"/>
              <w:marRight w:val="0"/>
              <w:marTop w:val="0"/>
              <w:marBottom w:val="0"/>
              <w:divBdr>
                <w:top w:val="none" w:sz="0" w:space="0" w:color="auto"/>
                <w:left w:val="none" w:sz="0" w:space="0" w:color="auto"/>
                <w:bottom w:val="none" w:sz="0" w:space="0" w:color="auto"/>
                <w:right w:val="none" w:sz="0" w:space="0" w:color="auto"/>
              </w:divBdr>
              <w:divsChild>
                <w:div w:id="7368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921058">
      <w:bodyDiv w:val="1"/>
      <w:marLeft w:val="0"/>
      <w:marRight w:val="0"/>
      <w:marTop w:val="0"/>
      <w:marBottom w:val="0"/>
      <w:divBdr>
        <w:top w:val="none" w:sz="0" w:space="0" w:color="auto"/>
        <w:left w:val="none" w:sz="0" w:space="0" w:color="auto"/>
        <w:bottom w:val="none" w:sz="0" w:space="0" w:color="auto"/>
        <w:right w:val="none" w:sz="0" w:space="0" w:color="auto"/>
      </w:divBdr>
    </w:div>
    <w:div w:id="2054426274">
      <w:bodyDiv w:val="1"/>
      <w:marLeft w:val="0"/>
      <w:marRight w:val="0"/>
      <w:marTop w:val="0"/>
      <w:marBottom w:val="0"/>
      <w:divBdr>
        <w:top w:val="none" w:sz="0" w:space="0" w:color="auto"/>
        <w:left w:val="none" w:sz="0" w:space="0" w:color="auto"/>
        <w:bottom w:val="none" w:sz="0" w:space="0" w:color="auto"/>
        <w:right w:val="none" w:sz="0" w:space="0" w:color="auto"/>
      </w:divBdr>
    </w:div>
    <w:div w:id="2054768082">
      <w:bodyDiv w:val="1"/>
      <w:marLeft w:val="0"/>
      <w:marRight w:val="0"/>
      <w:marTop w:val="0"/>
      <w:marBottom w:val="0"/>
      <w:divBdr>
        <w:top w:val="none" w:sz="0" w:space="0" w:color="auto"/>
        <w:left w:val="none" w:sz="0" w:space="0" w:color="auto"/>
        <w:bottom w:val="none" w:sz="0" w:space="0" w:color="auto"/>
        <w:right w:val="none" w:sz="0" w:space="0" w:color="auto"/>
      </w:divBdr>
    </w:div>
    <w:div w:id="2064520847">
      <w:bodyDiv w:val="1"/>
      <w:marLeft w:val="0"/>
      <w:marRight w:val="0"/>
      <w:marTop w:val="0"/>
      <w:marBottom w:val="0"/>
      <w:divBdr>
        <w:top w:val="none" w:sz="0" w:space="0" w:color="auto"/>
        <w:left w:val="none" w:sz="0" w:space="0" w:color="auto"/>
        <w:bottom w:val="none" w:sz="0" w:space="0" w:color="auto"/>
        <w:right w:val="none" w:sz="0" w:space="0" w:color="auto"/>
      </w:divBdr>
    </w:div>
    <w:div w:id="2079672140">
      <w:bodyDiv w:val="1"/>
      <w:marLeft w:val="0"/>
      <w:marRight w:val="0"/>
      <w:marTop w:val="0"/>
      <w:marBottom w:val="0"/>
      <w:divBdr>
        <w:top w:val="none" w:sz="0" w:space="0" w:color="auto"/>
        <w:left w:val="none" w:sz="0" w:space="0" w:color="auto"/>
        <w:bottom w:val="none" w:sz="0" w:space="0" w:color="auto"/>
        <w:right w:val="none" w:sz="0" w:space="0" w:color="auto"/>
      </w:divBdr>
    </w:div>
    <w:div w:id="2082827054">
      <w:bodyDiv w:val="1"/>
      <w:marLeft w:val="0"/>
      <w:marRight w:val="0"/>
      <w:marTop w:val="0"/>
      <w:marBottom w:val="0"/>
      <w:divBdr>
        <w:top w:val="none" w:sz="0" w:space="0" w:color="auto"/>
        <w:left w:val="none" w:sz="0" w:space="0" w:color="auto"/>
        <w:bottom w:val="none" w:sz="0" w:space="0" w:color="auto"/>
        <w:right w:val="none" w:sz="0" w:space="0" w:color="auto"/>
      </w:divBdr>
      <w:divsChild>
        <w:div w:id="647324759">
          <w:marLeft w:val="0"/>
          <w:marRight w:val="0"/>
          <w:marTop w:val="0"/>
          <w:marBottom w:val="0"/>
          <w:divBdr>
            <w:top w:val="none" w:sz="0" w:space="0" w:color="auto"/>
            <w:left w:val="none" w:sz="0" w:space="0" w:color="auto"/>
            <w:bottom w:val="none" w:sz="0" w:space="0" w:color="auto"/>
            <w:right w:val="none" w:sz="0" w:space="0" w:color="auto"/>
          </w:divBdr>
        </w:div>
        <w:div w:id="1080172193">
          <w:marLeft w:val="0"/>
          <w:marRight w:val="0"/>
          <w:marTop w:val="0"/>
          <w:marBottom w:val="0"/>
          <w:divBdr>
            <w:top w:val="none" w:sz="0" w:space="0" w:color="auto"/>
            <w:left w:val="none" w:sz="0" w:space="0" w:color="auto"/>
            <w:bottom w:val="none" w:sz="0" w:space="0" w:color="auto"/>
            <w:right w:val="none" w:sz="0" w:space="0" w:color="auto"/>
          </w:divBdr>
        </w:div>
      </w:divsChild>
    </w:div>
    <w:div w:id="2090230069">
      <w:bodyDiv w:val="1"/>
      <w:marLeft w:val="0"/>
      <w:marRight w:val="0"/>
      <w:marTop w:val="0"/>
      <w:marBottom w:val="0"/>
      <w:divBdr>
        <w:top w:val="none" w:sz="0" w:space="0" w:color="auto"/>
        <w:left w:val="none" w:sz="0" w:space="0" w:color="auto"/>
        <w:bottom w:val="none" w:sz="0" w:space="0" w:color="auto"/>
        <w:right w:val="none" w:sz="0" w:space="0" w:color="auto"/>
      </w:divBdr>
      <w:divsChild>
        <w:div w:id="41247919">
          <w:marLeft w:val="0"/>
          <w:marRight w:val="0"/>
          <w:marTop w:val="0"/>
          <w:marBottom w:val="0"/>
          <w:divBdr>
            <w:top w:val="none" w:sz="0" w:space="0" w:color="auto"/>
            <w:left w:val="none" w:sz="0" w:space="0" w:color="auto"/>
            <w:bottom w:val="none" w:sz="0" w:space="0" w:color="auto"/>
            <w:right w:val="none" w:sz="0" w:space="0" w:color="auto"/>
          </w:divBdr>
        </w:div>
        <w:div w:id="637489816">
          <w:marLeft w:val="0"/>
          <w:marRight w:val="0"/>
          <w:marTop w:val="0"/>
          <w:marBottom w:val="0"/>
          <w:divBdr>
            <w:top w:val="none" w:sz="0" w:space="0" w:color="auto"/>
            <w:left w:val="none" w:sz="0" w:space="0" w:color="auto"/>
            <w:bottom w:val="none" w:sz="0" w:space="0" w:color="auto"/>
            <w:right w:val="none" w:sz="0" w:space="0" w:color="auto"/>
          </w:divBdr>
        </w:div>
        <w:div w:id="715859393">
          <w:marLeft w:val="0"/>
          <w:marRight w:val="0"/>
          <w:marTop w:val="0"/>
          <w:marBottom w:val="0"/>
          <w:divBdr>
            <w:top w:val="none" w:sz="0" w:space="0" w:color="auto"/>
            <w:left w:val="none" w:sz="0" w:space="0" w:color="auto"/>
            <w:bottom w:val="none" w:sz="0" w:space="0" w:color="auto"/>
            <w:right w:val="none" w:sz="0" w:space="0" w:color="auto"/>
          </w:divBdr>
        </w:div>
        <w:div w:id="956329534">
          <w:marLeft w:val="0"/>
          <w:marRight w:val="0"/>
          <w:marTop w:val="0"/>
          <w:marBottom w:val="0"/>
          <w:divBdr>
            <w:top w:val="none" w:sz="0" w:space="0" w:color="auto"/>
            <w:left w:val="none" w:sz="0" w:space="0" w:color="auto"/>
            <w:bottom w:val="none" w:sz="0" w:space="0" w:color="auto"/>
            <w:right w:val="none" w:sz="0" w:space="0" w:color="auto"/>
          </w:divBdr>
        </w:div>
        <w:div w:id="1198275671">
          <w:marLeft w:val="0"/>
          <w:marRight w:val="0"/>
          <w:marTop w:val="0"/>
          <w:marBottom w:val="0"/>
          <w:divBdr>
            <w:top w:val="none" w:sz="0" w:space="0" w:color="auto"/>
            <w:left w:val="none" w:sz="0" w:space="0" w:color="auto"/>
            <w:bottom w:val="none" w:sz="0" w:space="0" w:color="auto"/>
            <w:right w:val="none" w:sz="0" w:space="0" w:color="auto"/>
          </w:divBdr>
        </w:div>
        <w:div w:id="2017924323">
          <w:marLeft w:val="0"/>
          <w:marRight w:val="0"/>
          <w:marTop w:val="0"/>
          <w:marBottom w:val="0"/>
          <w:divBdr>
            <w:top w:val="none" w:sz="0" w:space="0" w:color="auto"/>
            <w:left w:val="none" w:sz="0" w:space="0" w:color="auto"/>
            <w:bottom w:val="none" w:sz="0" w:space="0" w:color="auto"/>
            <w:right w:val="none" w:sz="0" w:space="0" w:color="auto"/>
          </w:divBdr>
        </w:div>
      </w:divsChild>
    </w:div>
    <w:div w:id="2091778801">
      <w:bodyDiv w:val="1"/>
      <w:marLeft w:val="0"/>
      <w:marRight w:val="0"/>
      <w:marTop w:val="0"/>
      <w:marBottom w:val="0"/>
      <w:divBdr>
        <w:top w:val="none" w:sz="0" w:space="0" w:color="auto"/>
        <w:left w:val="none" w:sz="0" w:space="0" w:color="auto"/>
        <w:bottom w:val="none" w:sz="0" w:space="0" w:color="auto"/>
        <w:right w:val="none" w:sz="0" w:space="0" w:color="auto"/>
      </w:divBdr>
    </w:div>
    <w:div w:id="2106416301">
      <w:bodyDiv w:val="1"/>
      <w:marLeft w:val="0"/>
      <w:marRight w:val="0"/>
      <w:marTop w:val="0"/>
      <w:marBottom w:val="0"/>
      <w:divBdr>
        <w:top w:val="none" w:sz="0" w:space="0" w:color="auto"/>
        <w:left w:val="none" w:sz="0" w:space="0" w:color="auto"/>
        <w:bottom w:val="none" w:sz="0" w:space="0" w:color="auto"/>
        <w:right w:val="none" w:sz="0" w:space="0" w:color="auto"/>
      </w:divBdr>
    </w:div>
    <w:div w:id="2109353182">
      <w:bodyDiv w:val="1"/>
      <w:marLeft w:val="0"/>
      <w:marRight w:val="0"/>
      <w:marTop w:val="0"/>
      <w:marBottom w:val="0"/>
      <w:divBdr>
        <w:top w:val="none" w:sz="0" w:space="0" w:color="auto"/>
        <w:left w:val="none" w:sz="0" w:space="0" w:color="auto"/>
        <w:bottom w:val="none" w:sz="0" w:space="0" w:color="auto"/>
        <w:right w:val="none" w:sz="0" w:space="0" w:color="auto"/>
      </w:divBdr>
    </w:div>
    <w:div w:id="2113627264">
      <w:bodyDiv w:val="1"/>
      <w:marLeft w:val="0"/>
      <w:marRight w:val="0"/>
      <w:marTop w:val="0"/>
      <w:marBottom w:val="0"/>
      <w:divBdr>
        <w:top w:val="none" w:sz="0" w:space="0" w:color="auto"/>
        <w:left w:val="none" w:sz="0" w:space="0" w:color="auto"/>
        <w:bottom w:val="none" w:sz="0" w:space="0" w:color="auto"/>
        <w:right w:val="none" w:sz="0" w:space="0" w:color="auto"/>
      </w:divBdr>
    </w:div>
    <w:div w:id="2114007010">
      <w:bodyDiv w:val="1"/>
      <w:marLeft w:val="0"/>
      <w:marRight w:val="0"/>
      <w:marTop w:val="0"/>
      <w:marBottom w:val="0"/>
      <w:divBdr>
        <w:top w:val="none" w:sz="0" w:space="0" w:color="auto"/>
        <w:left w:val="none" w:sz="0" w:space="0" w:color="auto"/>
        <w:bottom w:val="none" w:sz="0" w:space="0" w:color="auto"/>
        <w:right w:val="none" w:sz="0" w:space="0" w:color="auto"/>
      </w:divBdr>
      <w:divsChild>
        <w:div w:id="1100948773">
          <w:marLeft w:val="0"/>
          <w:marRight w:val="0"/>
          <w:marTop w:val="0"/>
          <w:marBottom w:val="0"/>
          <w:divBdr>
            <w:top w:val="none" w:sz="0" w:space="0" w:color="auto"/>
            <w:left w:val="none" w:sz="0" w:space="0" w:color="auto"/>
            <w:bottom w:val="none" w:sz="0" w:space="0" w:color="auto"/>
            <w:right w:val="none" w:sz="0" w:space="0" w:color="auto"/>
          </w:divBdr>
          <w:divsChild>
            <w:div w:id="1843079042">
              <w:marLeft w:val="0"/>
              <w:marRight w:val="0"/>
              <w:marTop w:val="0"/>
              <w:marBottom w:val="0"/>
              <w:divBdr>
                <w:top w:val="none" w:sz="0" w:space="0" w:color="auto"/>
                <w:left w:val="none" w:sz="0" w:space="0" w:color="auto"/>
                <w:bottom w:val="none" w:sz="0" w:space="0" w:color="auto"/>
                <w:right w:val="none" w:sz="0" w:space="0" w:color="auto"/>
              </w:divBdr>
              <w:divsChild>
                <w:div w:id="12029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60426">
      <w:bodyDiv w:val="1"/>
      <w:marLeft w:val="0"/>
      <w:marRight w:val="0"/>
      <w:marTop w:val="0"/>
      <w:marBottom w:val="0"/>
      <w:divBdr>
        <w:top w:val="none" w:sz="0" w:space="0" w:color="auto"/>
        <w:left w:val="none" w:sz="0" w:space="0" w:color="auto"/>
        <w:bottom w:val="none" w:sz="0" w:space="0" w:color="auto"/>
        <w:right w:val="none" w:sz="0" w:space="0" w:color="auto"/>
      </w:divBdr>
    </w:div>
    <w:div w:id="2131850764">
      <w:bodyDiv w:val="1"/>
      <w:marLeft w:val="0"/>
      <w:marRight w:val="0"/>
      <w:marTop w:val="0"/>
      <w:marBottom w:val="0"/>
      <w:divBdr>
        <w:top w:val="none" w:sz="0" w:space="0" w:color="auto"/>
        <w:left w:val="none" w:sz="0" w:space="0" w:color="auto"/>
        <w:bottom w:val="none" w:sz="0" w:space="0" w:color="auto"/>
        <w:right w:val="none" w:sz="0" w:space="0" w:color="auto"/>
      </w:divBdr>
    </w:div>
    <w:div w:id="2132941848">
      <w:bodyDiv w:val="1"/>
      <w:marLeft w:val="0"/>
      <w:marRight w:val="0"/>
      <w:marTop w:val="0"/>
      <w:marBottom w:val="0"/>
      <w:divBdr>
        <w:top w:val="none" w:sz="0" w:space="0" w:color="auto"/>
        <w:left w:val="none" w:sz="0" w:space="0" w:color="auto"/>
        <w:bottom w:val="none" w:sz="0" w:space="0" w:color="auto"/>
        <w:right w:val="none" w:sz="0" w:space="0" w:color="auto"/>
      </w:divBdr>
    </w:div>
    <w:div w:id="2141338026">
      <w:bodyDiv w:val="1"/>
      <w:marLeft w:val="0"/>
      <w:marRight w:val="0"/>
      <w:marTop w:val="0"/>
      <w:marBottom w:val="0"/>
      <w:divBdr>
        <w:top w:val="none" w:sz="0" w:space="0" w:color="auto"/>
        <w:left w:val="none" w:sz="0" w:space="0" w:color="auto"/>
        <w:bottom w:val="none" w:sz="0" w:space="0" w:color="auto"/>
        <w:right w:val="none" w:sz="0" w:space="0" w:color="auto"/>
      </w:divBdr>
      <w:divsChild>
        <w:div w:id="500896732">
          <w:marLeft w:val="0"/>
          <w:marRight w:val="0"/>
          <w:marTop w:val="0"/>
          <w:marBottom w:val="0"/>
          <w:divBdr>
            <w:top w:val="none" w:sz="0" w:space="0" w:color="auto"/>
            <w:left w:val="none" w:sz="0" w:space="0" w:color="auto"/>
            <w:bottom w:val="none" w:sz="0" w:space="0" w:color="auto"/>
            <w:right w:val="none" w:sz="0" w:space="0" w:color="auto"/>
          </w:divBdr>
          <w:divsChild>
            <w:div w:id="1889225560">
              <w:marLeft w:val="0"/>
              <w:marRight w:val="0"/>
              <w:marTop w:val="0"/>
              <w:marBottom w:val="0"/>
              <w:divBdr>
                <w:top w:val="none" w:sz="0" w:space="0" w:color="auto"/>
                <w:left w:val="none" w:sz="0" w:space="0" w:color="auto"/>
                <w:bottom w:val="none" w:sz="0" w:space="0" w:color="auto"/>
                <w:right w:val="none" w:sz="0" w:space="0" w:color="auto"/>
              </w:divBdr>
              <w:divsChild>
                <w:div w:id="15958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92885">
          <w:marLeft w:val="0"/>
          <w:marRight w:val="0"/>
          <w:marTop w:val="0"/>
          <w:marBottom w:val="0"/>
          <w:divBdr>
            <w:top w:val="none" w:sz="0" w:space="0" w:color="auto"/>
            <w:left w:val="none" w:sz="0" w:space="0" w:color="auto"/>
            <w:bottom w:val="none" w:sz="0" w:space="0" w:color="auto"/>
            <w:right w:val="none" w:sz="0" w:space="0" w:color="auto"/>
          </w:divBdr>
        </w:div>
      </w:divsChild>
    </w:div>
    <w:div w:id="2144419439">
      <w:bodyDiv w:val="1"/>
      <w:marLeft w:val="0"/>
      <w:marRight w:val="0"/>
      <w:marTop w:val="0"/>
      <w:marBottom w:val="0"/>
      <w:divBdr>
        <w:top w:val="none" w:sz="0" w:space="0" w:color="auto"/>
        <w:left w:val="none" w:sz="0" w:space="0" w:color="auto"/>
        <w:bottom w:val="none" w:sz="0" w:space="0" w:color="auto"/>
        <w:right w:val="none" w:sz="0" w:space="0" w:color="auto"/>
      </w:divBdr>
      <w:divsChild>
        <w:div w:id="346251721">
          <w:marLeft w:val="0"/>
          <w:marRight w:val="0"/>
          <w:marTop w:val="0"/>
          <w:marBottom w:val="0"/>
          <w:divBdr>
            <w:top w:val="none" w:sz="0" w:space="0" w:color="auto"/>
            <w:left w:val="none" w:sz="0" w:space="0" w:color="auto"/>
            <w:bottom w:val="none" w:sz="0" w:space="0" w:color="auto"/>
            <w:right w:val="none" w:sz="0" w:space="0" w:color="auto"/>
          </w:divBdr>
          <w:divsChild>
            <w:div w:id="637341673">
              <w:marLeft w:val="0"/>
              <w:marRight w:val="0"/>
              <w:marTop w:val="0"/>
              <w:marBottom w:val="0"/>
              <w:divBdr>
                <w:top w:val="none" w:sz="0" w:space="0" w:color="auto"/>
                <w:left w:val="none" w:sz="0" w:space="0" w:color="auto"/>
                <w:bottom w:val="none" w:sz="0" w:space="0" w:color="auto"/>
                <w:right w:val="none" w:sz="0" w:space="0" w:color="auto"/>
              </w:divBdr>
            </w:div>
            <w:div w:id="1080373677">
              <w:marLeft w:val="0"/>
              <w:marRight w:val="0"/>
              <w:marTop w:val="0"/>
              <w:marBottom w:val="0"/>
              <w:divBdr>
                <w:top w:val="none" w:sz="0" w:space="0" w:color="auto"/>
                <w:left w:val="none" w:sz="0" w:space="0" w:color="auto"/>
                <w:bottom w:val="none" w:sz="0" w:space="0" w:color="auto"/>
                <w:right w:val="none" w:sz="0" w:space="0" w:color="auto"/>
              </w:divBdr>
            </w:div>
            <w:div w:id="1180512958">
              <w:marLeft w:val="0"/>
              <w:marRight w:val="0"/>
              <w:marTop w:val="0"/>
              <w:marBottom w:val="0"/>
              <w:divBdr>
                <w:top w:val="none" w:sz="0" w:space="0" w:color="auto"/>
                <w:left w:val="none" w:sz="0" w:space="0" w:color="auto"/>
                <w:bottom w:val="none" w:sz="0" w:space="0" w:color="auto"/>
                <w:right w:val="none" w:sz="0" w:space="0" w:color="auto"/>
              </w:divBdr>
            </w:div>
            <w:div w:id="1205632578">
              <w:marLeft w:val="0"/>
              <w:marRight w:val="0"/>
              <w:marTop w:val="0"/>
              <w:marBottom w:val="0"/>
              <w:divBdr>
                <w:top w:val="none" w:sz="0" w:space="0" w:color="auto"/>
                <w:left w:val="none" w:sz="0" w:space="0" w:color="auto"/>
                <w:bottom w:val="none" w:sz="0" w:space="0" w:color="auto"/>
                <w:right w:val="none" w:sz="0" w:space="0" w:color="auto"/>
              </w:divBdr>
            </w:div>
            <w:div w:id="1552115144">
              <w:marLeft w:val="0"/>
              <w:marRight w:val="0"/>
              <w:marTop w:val="0"/>
              <w:marBottom w:val="0"/>
              <w:divBdr>
                <w:top w:val="none" w:sz="0" w:space="0" w:color="auto"/>
                <w:left w:val="none" w:sz="0" w:space="0" w:color="auto"/>
                <w:bottom w:val="none" w:sz="0" w:space="0" w:color="auto"/>
                <w:right w:val="none" w:sz="0" w:space="0" w:color="auto"/>
              </w:divBdr>
            </w:div>
            <w:div w:id="1742171137">
              <w:marLeft w:val="0"/>
              <w:marRight w:val="0"/>
              <w:marTop w:val="0"/>
              <w:marBottom w:val="0"/>
              <w:divBdr>
                <w:top w:val="none" w:sz="0" w:space="0" w:color="auto"/>
                <w:left w:val="none" w:sz="0" w:space="0" w:color="auto"/>
                <w:bottom w:val="none" w:sz="0" w:space="0" w:color="auto"/>
                <w:right w:val="none" w:sz="0" w:space="0" w:color="auto"/>
              </w:divBdr>
            </w:div>
          </w:divsChild>
        </w:div>
        <w:div w:id="1119186067">
          <w:marLeft w:val="0"/>
          <w:marRight w:val="0"/>
          <w:marTop w:val="0"/>
          <w:marBottom w:val="0"/>
          <w:divBdr>
            <w:top w:val="none" w:sz="0" w:space="0" w:color="auto"/>
            <w:left w:val="none" w:sz="0" w:space="0" w:color="auto"/>
            <w:bottom w:val="none" w:sz="0" w:space="0" w:color="auto"/>
            <w:right w:val="none" w:sz="0" w:space="0" w:color="auto"/>
          </w:divBdr>
          <w:divsChild>
            <w:div w:id="1536455656">
              <w:marLeft w:val="0"/>
              <w:marRight w:val="0"/>
              <w:marTop w:val="0"/>
              <w:marBottom w:val="0"/>
              <w:divBdr>
                <w:top w:val="none" w:sz="0" w:space="0" w:color="auto"/>
                <w:left w:val="none" w:sz="0" w:space="0" w:color="auto"/>
                <w:bottom w:val="none" w:sz="0" w:space="0" w:color="auto"/>
                <w:right w:val="none" w:sz="0" w:space="0" w:color="auto"/>
              </w:divBdr>
              <w:divsChild>
                <w:div w:id="368189641">
                  <w:marLeft w:val="0"/>
                  <w:marRight w:val="0"/>
                  <w:marTop w:val="0"/>
                  <w:marBottom w:val="0"/>
                  <w:divBdr>
                    <w:top w:val="none" w:sz="0" w:space="0" w:color="auto"/>
                    <w:left w:val="none" w:sz="0" w:space="0" w:color="auto"/>
                    <w:bottom w:val="none" w:sz="0" w:space="0" w:color="auto"/>
                    <w:right w:val="none" w:sz="0" w:space="0" w:color="auto"/>
                  </w:divBdr>
                  <w:divsChild>
                    <w:div w:id="1045982059">
                      <w:marLeft w:val="0"/>
                      <w:marRight w:val="0"/>
                      <w:marTop w:val="0"/>
                      <w:marBottom w:val="0"/>
                      <w:divBdr>
                        <w:top w:val="none" w:sz="0" w:space="0" w:color="auto"/>
                        <w:left w:val="none" w:sz="0" w:space="0" w:color="auto"/>
                        <w:bottom w:val="none" w:sz="0" w:space="0" w:color="auto"/>
                        <w:right w:val="none" w:sz="0" w:space="0" w:color="auto"/>
                      </w:divBdr>
                      <w:divsChild>
                        <w:div w:id="876746472">
                          <w:marLeft w:val="0"/>
                          <w:marRight w:val="0"/>
                          <w:marTop w:val="0"/>
                          <w:marBottom w:val="0"/>
                          <w:divBdr>
                            <w:top w:val="none" w:sz="0" w:space="0" w:color="auto"/>
                            <w:left w:val="none" w:sz="0" w:space="0" w:color="auto"/>
                            <w:bottom w:val="none" w:sz="0" w:space="0" w:color="auto"/>
                            <w:right w:val="none" w:sz="0" w:space="0" w:color="auto"/>
                          </w:divBdr>
                          <w:divsChild>
                            <w:div w:id="121312983">
                              <w:marLeft w:val="0"/>
                              <w:marRight w:val="0"/>
                              <w:marTop w:val="0"/>
                              <w:marBottom w:val="0"/>
                              <w:divBdr>
                                <w:top w:val="none" w:sz="0" w:space="0" w:color="auto"/>
                                <w:left w:val="none" w:sz="0" w:space="0" w:color="auto"/>
                                <w:bottom w:val="none" w:sz="0" w:space="0" w:color="auto"/>
                                <w:right w:val="none" w:sz="0" w:space="0" w:color="auto"/>
                              </w:divBdr>
                              <w:divsChild>
                                <w:div w:id="1434782354">
                                  <w:marLeft w:val="0"/>
                                  <w:marRight w:val="0"/>
                                  <w:marTop w:val="0"/>
                                  <w:marBottom w:val="0"/>
                                  <w:divBdr>
                                    <w:top w:val="none" w:sz="0" w:space="0" w:color="auto"/>
                                    <w:left w:val="none" w:sz="0" w:space="0" w:color="auto"/>
                                    <w:bottom w:val="none" w:sz="0" w:space="0" w:color="auto"/>
                                    <w:right w:val="none" w:sz="0" w:space="0" w:color="auto"/>
                                  </w:divBdr>
                                  <w:divsChild>
                                    <w:div w:id="1047680548">
                                      <w:marLeft w:val="0"/>
                                      <w:marRight w:val="0"/>
                                      <w:marTop w:val="0"/>
                                      <w:marBottom w:val="0"/>
                                      <w:divBdr>
                                        <w:top w:val="none" w:sz="0" w:space="0" w:color="auto"/>
                                        <w:left w:val="none" w:sz="0" w:space="0" w:color="auto"/>
                                        <w:bottom w:val="none" w:sz="0" w:space="0" w:color="auto"/>
                                        <w:right w:val="none" w:sz="0" w:space="0" w:color="auto"/>
                                      </w:divBdr>
                                      <w:divsChild>
                                        <w:div w:id="1041901689">
                                          <w:marLeft w:val="0"/>
                                          <w:marRight w:val="0"/>
                                          <w:marTop w:val="0"/>
                                          <w:marBottom w:val="0"/>
                                          <w:divBdr>
                                            <w:top w:val="none" w:sz="0" w:space="0" w:color="auto"/>
                                            <w:left w:val="none" w:sz="0" w:space="0" w:color="auto"/>
                                            <w:bottom w:val="none" w:sz="0" w:space="0" w:color="auto"/>
                                            <w:right w:val="none" w:sz="0" w:space="0" w:color="auto"/>
                                          </w:divBdr>
                                        </w:div>
                                      </w:divsChild>
                                    </w:div>
                                    <w:div w:id="1600219163">
                                      <w:marLeft w:val="0"/>
                                      <w:marRight w:val="0"/>
                                      <w:marTop w:val="0"/>
                                      <w:marBottom w:val="0"/>
                                      <w:divBdr>
                                        <w:top w:val="none" w:sz="0" w:space="0" w:color="auto"/>
                                        <w:left w:val="none" w:sz="0" w:space="0" w:color="auto"/>
                                        <w:bottom w:val="none" w:sz="0" w:space="0" w:color="auto"/>
                                        <w:right w:val="none" w:sz="0" w:space="0" w:color="auto"/>
                                      </w:divBdr>
                                    </w:div>
                                    <w:div w:id="20789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921058">
                  <w:marLeft w:val="0"/>
                  <w:marRight w:val="0"/>
                  <w:marTop w:val="0"/>
                  <w:marBottom w:val="0"/>
                  <w:divBdr>
                    <w:top w:val="none" w:sz="0" w:space="0" w:color="auto"/>
                    <w:left w:val="none" w:sz="0" w:space="0" w:color="auto"/>
                    <w:bottom w:val="none" w:sz="0" w:space="0" w:color="auto"/>
                    <w:right w:val="none" w:sz="0" w:space="0" w:color="auto"/>
                  </w:divBdr>
                  <w:divsChild>
                    <w:div w:id="160152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venturemagazine.co.nz/pop-goes-my-pelvis/" TargetMode="External"/><Relationship Id="rId13" Type="http://schemas.openxmlformats.org/officeDocument/2006/relationships/hyperlink" Target="http://www.icij.org/investigations/implant-fil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csnz.com/" TargetMode="External"/><Relationship Id="rId17" Type="http://schemas.openxmlformats.org/officeDocument/2006/relationships/hyperlink" Target="http://consumeradvocacyalliance.co.nz/" TargetMode="External"/><Relationship Id="rId2" Type="http://schemas.openxmlformats.org/officeDocument/2006/relationships/numbering" Target="numbering.xml"/><Relationship Id="rId16" Type="http://schemas.openxmlformats.org/officeDocument/2006/relationships/hyperlink" Target="https://tatou.health.govt.n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menshealthcouncil.org.nz/wp-content/uploads/2022/01/Auckland-Womens-Health-Council-submission-on-the-Pae-Ora-Healthy-Futures-Bill-December-2021.pdf" TargetMode="External"/><Relationship Id="rId5" Type="http://schemas.openxmlformats.org/officeDocument/2006/relationships/webSettings" Target="webSettings.xml"/><Relationship Id="rId15" Type="http://schemas.openxmlformats.org/officeDocument/2006/relationships/hyperlink" Target="https://www.womenshealthcouncil.org.nz/wp-content/uploads/2023/03/AWHC-submission-on-the-Womens-Health-Strategy-24-3-23.pdf" TargetMode="External"/><Relationship Id="rId10" Type="http://schemas.openxmlformats.org/officeDocument/2006/relationships/hyperlink" Target="https://www.activeandpop.org.nz/abou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ctiveandpop.org.nz/" TargetMode="External"/><Relationship Id="rId14" Type="http://schemas.openxmlformats.org/officeDocument/2006/relationships/hyperlink" Target="Calls%20for%20a%20women&#8217;s%20health%20strategy%20for%20Aotearoa%20New%20Zealand%20began%20at%20least%20as%20early%20as%202014,%20with%20the%20Women&#8217;s%20Health%20Action%20discussion%20paper,%20A%20Case%20for%20a%20National%20Women&#8217;s%20Health%20Strategy%20in%20Aotearoa%20New%20Zealand.%20%20They%20wro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4B9D4-1936-4BDB-A227-8C8F5120D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40</Pages>
  <Words>8892</Words>
  <Characters>50687</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Auckland Womens Health Council</Company>
  <LinksUpToDate>false</LinksUpToDate>
  <CharactersWithSpaces>59461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 Claridge</cp:lastModifiedBy>
  <cp:revision>3</cp:revision>
  <cp:lastPrinted>2019-06-19T21:19:00Z</cp:lastPrinted>
  <dcterms:created xsi:type="dcterms:W3CDTF">2023-04-25T23:01:00Z</dcterms:created>
  <dcterms:modified xsi:type="dcterms:W3CDTF">2023-04-25T23:28:00Z</dcterms:modified>
</cp:coreProperties>
</file>